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Corporations are required to file a tax return annually regardless of their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tax return filing requirements for individual taxpayers only depend on the taxpayer's filing status.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If a taxpayer is due a refund, she does not have to file a tax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If 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April 17</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If an individual taxpayer is unable to file a tax return by its original due date, the taxpayer can request an automatic nine-month extension to file the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An extension to file a tax return does not extend the due date for tax payments.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statute of limitations for IRS assessment generally ends four years after the date a tax return is filed.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For fraudulent tax returns, the statute of limitations for IRS assessment is 10 years.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IRS DIF system checks each tax return for mathematical mistakes and errors.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Office examinations are the most common type of IRS audit.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three basic types of IRS examinations are computer exams, office exams, and business exams.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"90-day" letter gives the taxpayer the opportunity to pay a proposed IRS tax adjustment or file a petition in the U.S. District Court to contest the adjustment and hear the case.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If a taxpayer has little cash and a very technical tax case about which she feels very strongly that the tax rules are "on her side," she should prefer to have her case tried in the U.S. Tax Court.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researching a tax issue, Eric finds that the U.S. Circuit Court of Appeals for the Federal Circuit previously has ruled in favor of his tax position, whereas the 11</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If a taxpayer loses a case at the circuit court level, he is granted an automatic appeal hearing with the Supreme Court.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Secondary authorities are official sources of the tax law with a lesser "weight" than primary authorities.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Revenue rulings and revenue procedures are examples of primary authorities.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Internal Revenue Code and tax treaties are examples of statutory authorities.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Because the U.S. District Court hears a broader set of cases, decisions by the U.S. District Court may be considered to have more authoritative weight than those by the U.S. Court of Federal Claims.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Temporary regulations have more authoritative weight than revenue rulings.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Proposed and temporary regulations have the same authoritative weight.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Internal Revenue Code of 1986 is the name of the current income tax code of the United States of America.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As required by the Constitution, all tax bills are supposed to originate in the House of Representatives.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Senate Ways and Means Committee is in charge of drafting tax bills in the U.S. Senate.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Closed facts are especially conducive to tax planning.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Of the two basic types of tax services, beginning tax researchers often prefer topical tax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Under the Statements on Standards for Tax Services, a CPA may recommend a tax return position if the position is frivolous and the position is not disclosed on the tax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In general, a CPA will satisfy his professional responsibilities under the Statements on Standards for Tax Services when recommending a tax return position if he complies with the standards imposed by the applicable tax authority.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Under the tax law, taxpayers may be subject to both civil and criminal penalties for underpaying their tax liability (e.g., due to fraud).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taxpayer can avoid an underpayment penalty if there is substantial authority that supports her tax return position.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If the IRS assesses additional tax on a tax return upon audit, a taxpayer may be subject to interest and penalties on the underpayment.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36)</w:t>
        <w:tab/>
      </w:r>
      <w:r>
        <w:rPr>
          <w:rFonts w:ascii="Times New Roman"/>
          <w:b w:val="false"/>
          <w:i w:val="false"/>
          <w:color w:val="000000"/>
          <w:sz w:val="24"/>
        </w:rPr>
        <w:t>Which of the following is not a factor that determines whether a taxpayer is required to file a tax return?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Filing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gross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Taxpayer's employment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Taxpayer's age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If Paula requests an extension to file her individual tax return in a timely manner, the latest she could file her return without a failure-to-file penalty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September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If Lindley requests an extension to file her individual tax return in a timely manner, the latest she could pay her tax due without penalty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Corporations are required to file a tax return only if their taxable income is greater than: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 Corporations are always required to file a tax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Generally, if 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April 14</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required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not required to file a tax return but should file a return anyway.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required to file a tax return but should not file because he owes no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not required to file a tax return and should not file a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Greg earned $25,500 in 2022 and had $1,500 of federal income taxes withheld from his salary. Assuming that Greg is single, 25 years old, and will have a total tax liability of $1,301 (and thus will receive a $199 refund), 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required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not required to file a tax return but should file a return anyway.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required to file a tax return but should not file because he owes no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not required to file a tax return and should not file a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Bill filed his 2022 tax return on March 15</w:t>
      </w:r>
      <w:r>
        <w:rPr>
          <w:rFonts w:ascii="Times New Roman"/>
          <w:b w:val="false"/>
          <w:i w:val="false"/>
          <w:color w:val="000000"/>
          <w:sz w:val="24"/>
          <w:vertAlign w:val="superscript"/>
        </w:rPr>
        <w:t>th</w:t>
      </w:r>
      <w:r>
        <w:rPr>
          <w:rFonts w:ascii="Times New Roman"/>
          <w:b w:val="false"/>
          <w:i w:val="false"/>
          <w:color w:val="000000"/>
          <w:sz w:val="24"/>
        </w:rPr>
        <w:t>, 2023. The statute of limitations for IRS assessment on Bill's 2022 tax return should 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Henry filed his 2022 tax return on May 15</w:t>
      </w:r>
      <w:r>
        <w:rPr>
          <w:rFonts w:ascii="Times New Roman"/>
          <w:b w:val="false"/>
          <w:i w:val="false"/>
          <w:color w:val="000000"/>
          <w:sz w:val="24"/>
          <w:vertAlign w:val="superscript"/>
        </w:rPr>
        <w:t>th</w:t>
      </w:r>
      <w:r>
        <w:rPr>
          <w:rFonts w:ascii="Times New Roman"/>
          <w:b w:val="false"/>
          <w:i w:val="false"/>
          <w:color w:val="000000"/>
          <w:sz w:val="24"/>
        </w:rPr>
        <w:t>, 2023. The statute of limitations for IRS assessment on Henry's 2022 tax return should 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Allen filed his 2022 tax return on May 15</w:t>
      </w:r>
      <w:r>
        <w:rPr>
          <w:rFonts w:ascii="Times New Roman"/>
          <w:b w:val="false"/>
          <w:i w:val="false"/>
          <w:color w:val="000000"/>
          <w:sz w:val="24"/>
          <w:vertAlign w:val="superscript"/>
        </w:rPr>
        <w:t>th</w:t>
      </w:r>
      <w:r>
        <w:rPr>
          <w:rFonts w:ascii="Times New Roman"/>
          <w:b w:val="false"/>
          <w:i w:val="false"/>
          <w:color w:val="000000"/>
          <w:sz w:val="24"/>
        </w:rPr>
        <w:t>, 2023, and underreported his gross income by 30 percent. Assuming Allen's underreporting is not due to fraud, the statute of limitations for IRS assessment on Allen's 2022 tax return should 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Andy filed a fraudulent 2022 tax return on May 1, 2023. The statute of limitations for IRS assessment on Andy's 2022 tax return should 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2026.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2029.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Martin has never filed a 2022 tax return despite earning approximately $30,000 providing landscaping work in the community. In what tax year, will the statute of limitations expire for Martin's 2022 tax return?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2026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2029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2030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not a common method that the IRS uses to select returns for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Select system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Mathematical correction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Deduction Detective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Ramon's tax return was randomly selected for audit. Which IRS program likely selected Ramon's return for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National Research Program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audits is the most common and typically less comprehensive?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Correspondence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Random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Office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audits is the least common, broadest in scope, and typically most complex?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Correspondence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Targeted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Office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Dan received a letter from the IRS that gave him the choice of (1) requesting a conference with an appeals officer or (2) agreeing to a proposed tax adjustment. Dan received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30-day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90-day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Appeals letter.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adjustment letter.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Basu received a letter from the IRS that gave him the choice of (1) paying a proposed deficiency or (2) filing a petition with the U.S. Tax Court. Basu received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30-day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90-day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Appeals letter.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adjustment letter.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courts is the only court that provides for a jury trial?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Circuit Court of Appeals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Lavonda discovered that the 5</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or the U.S. District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Court or the U.S. Court of Federal Claims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or the U.S. District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Court or the U.S. Court of Federal Claims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Rowanda could not settle her tax dispute with the IRS at the appeals conference. If she wants to litigate the issue but does not have sufficient funds to pay the proposed tax deficiency, Rowanda should litigate in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District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Circuit Court of Appeals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is not considered a primary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case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is not considered a secondary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Textbook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article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has the highest authoritative weight?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Textbook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article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has the highest authoritative weight?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Legislative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Action on decision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Determination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treaty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Generally, code sections are arranged (grouped together):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chronologically.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topic.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randomly.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by length.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has the lowest authoritative weight?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Legislative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Interpretative 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judicial doctrine means that a court will rule consistently with its previous rulings and the rulings of higher courts with appellate jurisdiction?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Judicial hierarchy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Judicial consistency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Stare decisis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regulation with the lowest authoritative weight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procedural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interpretative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proposed regulation.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legislative 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Princess, who resides in the 2</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Federal Circuit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w:t>
      </w:r>
      <w:r>
        <w:rPr>
          <w:rFonts w:ascii="Times New Roman"/>
          <w:b w:val="false"/>
          <w:i w:val="false"/>
          <w:color w:val="000000"/>
          <w:sz w:val="24"/>
          <w:vertAlign w:val="superscript"/>
        </w:rPr>
        <w:t>st</w:t>
      </w:r>
      <w:r>
        <w:rPr>
          <w:rFonts w:ascii="Times New Roman"/>
          <w:b w:val="false"/>
          <w:i w:val="false"/>
          <w:color w:val="000000"/>
          <w:sz w:val="24"/>
        </w:rPr>
        <w:t xml:space="preserve"> Circuit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 or the Federal Circuit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Circuit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Divorce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Which of the following committees typically initiates tax legislation?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House Ways and Means Committee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Joint Conference Committee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Senate Finance Committee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Senate Tax Committee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Edie would like to better understand a new code section enacted four weeks ago. Which of the following authorities will help Edie understand the newly enacted code section?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IRS regulations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Tax Court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Committee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IRS revenue rulings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If the president vetoes tax legislation, Congress: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cannot override the president's veto.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override the president's veto with a 50 percent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override the president's veto with a two-thirds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 override the president's veto with a 75 percent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Jeremy has a new client. He has identified a research question that relates to a transaction that the client completed several months ago. This type of research question will primarily involve: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open facts.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new facts.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old facts.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closed facts.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In a planning context,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closed facts are preferred to open facts.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new facts are preferred to old facts.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old facts are preferred to new facts.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open facts are preferred to closed facts.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types of tax services is arranged by code section?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tax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Annotated tax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tax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Topical 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not a common tool used in conducting tax research?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Citator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Annotated tax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Topical tax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Keyword search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is not a source of a tax practitioner's professional responsibilities?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AICPA Code of Professional Conduct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Statements on Standards for Tax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Circular 230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board of accountancy statutes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According to Statements on Standards for Tax Services No. 1, a tax practitioner can recommend a tax return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complies with the standards imposed by the applicable tax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if the position meets the "more likely than not" standard.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if the position meets the "clear and convincing evidence" standard.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Circular 230 was issued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AICPA.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boards of accountancy.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American Bar Association.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Which of the following is a false statement? A taxpayer filing a fraudulent tax return: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potentially subject to criminal penalties.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potentially subject to civil penalties.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potentially subject to fines and a prison sentence.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will have an unlimited statute of limitations for the fraudulent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For which of the following tax violations is a civil penalty not imposed on taxpayers?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Failure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Failure to pay tax owed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Fraud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Failure to make estimated tax payments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taxpayer can avoid a substantial understatement of tax penalty: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not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A taxpayer can avoid a substantial understatement of tax penalty: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 position is not frivolous and disclosed on the tax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types of penalties are only imposed after normal due process including a trial?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Criminal penalties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Civil penalties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Criminal and civil penalties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Failure-to-file penalty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 tax practitioner can avoid IRS penalty relating to a tax return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not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 tax practitioner can avoid IRS penalty relating to a tax return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if the position has a more likely than not chance of being sustained by the IRS or courts.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not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88)</w:t>
        <w:tab/>
      </w: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For the following taxpayers, indicate whether the taxpayer should file a tax return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Robert earned $50,000 this year as a staff accountant. His estimated tax liability is $4,500, and he expects to receive a $500 tax refund.</w:t>
      </w:r>
      <w:r>
        <w:rPr>
          <w:rFonts w:ascii="Times New Roman"/>
          <w:sz w:val="24"/>
        </w:rPr>
        <w:br/>
      </w:r>
      <w:r>
        <w:rPr>
          <w:rFonts w:ascii="Times New Roman"/>
          <w:b w:val="false"/>
          <w:i w:val="false"/>
          <w:color w:val="000000"/>
          <w:sz w:val="24"/>
        </w:rPr>
        <w:t>b.</w:t>
      </w:r>
      <w:r>
        <w:rPr>
          <w:rFonts w:ascii="Times New Roman"/>
          <w:b w:val="false"/>
          <w:i w:val="false"/>
          <w:color w:val="000000"/>
          <w:sz w:val="24"/>
        </w:rPr>
        <w:t>Amy earned $4,000 this year working part-time. She will have no federal tax liability and has not made any federal tax payments.</w:t>
      </w:r>
      <w:r>
        <w:rPr>
          <w:rFonts w:ascii="Times New Roman"/>
          <w:sz w:val="24"/>
        </w:rPr>
        <w:br/>
      </w:r>
      <w:r>
        <w:rPr>
          <w:rFonts w:ascii="Times New Roman"/>
          <w:b w:val="false"/>
          <w:i w:val="false"/>
          <w:color w:val="000000"/>
          <w:sz w:val="24"/>
        </w:rPr>
        <w:t>c.</w:t>
      </w:r>
      <w:r>
        <w:rPr>
          <w:rFonts w:ascii="Times New Roman"/>
          <w:b w:val="false"/>
          <w:i w:val="false"/>
          <w:color w:val="000000"/>
          <w:sz w:val="24"/>
        </w:rPr>
        <w:t>Ty earned $2,500 this summer and had $200 of federal taxes withheld from his paycheck. He will have no federal tax liability this year.</w:t>
      </w:r>
      <w:r>
        <w:rPr>
          <w:rFonts w:ascii="Times New Roman"/>
          <w:sz w:val="24"/>
        </w:rPr>
        <w:br/>
      </w:r>
      <w:r>
        <w:rPr>
          <w:rFonts w:ascii="Times New Roman"/>
          <w:b w:val="false"/>
          <w:i w:val="false"/>
          <w:color w:val="000000"/>
          <w:sz w:val="24"/>
        </w:rPr>
        <w:t>d.</w:t>
      </w:r>
      <w:r>
        <w:rPr>
          <w:rFonts w:ascii="Times New Roman"/>
          <w:b w:val="false"/>
          <w:i w:val="false"/>
          <w:color w:val="000000"/>
          <w:sz w:val="24"/>
        </w:rPr>
        <w:t>Startup Corporation had a $50,000 loss this year.</w:t>
      </w:r>
      <w:r>
        <w:rPr>
          <w:rFonts w:ascii="Times New Roman"/>
          <w:sz w:val="24"/>
        </w:rPr>
        <w:br/>
      </w:r>
      <w:r>
        <w:rPr>
          <w:rFonts w:ascii="Times New Roman"/>
          <w:b w:val="false"/>
          <w:i w:val="false"/>
          <w:color w:val="000000"/>
          <w:sz w:val="24"/>
        </w:rPr>
        <w:t>e.</w:t>
      </w:r>
      <w:r>
        <w:rPr>
          <w:rFonts w:ascii="Times New Roman"/>
          <w:b w:val="false"/>
          <w:i w:val="false"/>
          <w:color w:val="000000"/>
          <w:sz w:val="24"/>
        </w:rPr>
        <w:t>The Walker Family Trust earned $500 of gross income this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For the 2022 tax returns, indicate when the statute of limitations expires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Phoenix filed his tax return on February 28, 2023.</w:t>
      </w:r>
      <w:r>
        <w:rPr>
          <w:rFonts w:ascii="Times New Roman"/>
          <w:sz w:val="24"/>
        </w:rPr>
        <w:br/>
      </w:r>
      <w:r>
        <w:rPr>
          <w:rFonts w:ascii="Times New Roman"/>
          <w:b w:val="false"/>
          <w:i w:val="false"/>
          <w:color w:val="000000"/>
          <w:sz w:val="24"/>
        </w:rPr>
        <w:t>b.</w:t>
      </w:r>
      <w:r>
        <w:rPr>
          <w:rFonts w:ascii="Times New Roman"/>
          <w:b w:val="false"/>
          <w:i w:val="false"/>
          <w:color w:val="000000"/>
          <w:sz w:val="24"/>
        </w:rPr>
        <w:t>Jill and Randy filed their tax return on August 16, 2023.</w:t>
      </w:r>
      <w:r>
        <w:rPr>
          <w:rFonts w:ascii="Times New Roman"/>
          <w:sz w:val="24"/>
        </w:rPr>
        <w:br/>
      </w:r>
      <w:r>
        <w:rPr>
          <w:rFonts w:ascii="Times New Roman"/>
          <w:b w:val="false"/>
          <w:i w:val="false"/>
          <w:color w:val="000000"/>
          <w:sz w:val="24"/>
        </w:rPr>
        <w:t>c.</w:t>
      </w:r>
      <w:r>
        <w:rPr>
          <w:rFonts w:ascii="Times New Roman"/>
          <w:b w:val="false"/>
          <w:i w:val="false"/>
          <w:color w:val="000000"/>
          <w:sz w:val="24"/>
        </w:rPr>
        <w:t>Although required to file, Catherine chose not to file a tax return this year because she was expecting a tax refund and could not pull together all the information needed to file the return.</w:t>
      </w:r>
      <w:r>
        <w:rPr>
          <w:rFonts w:ascii="Times New Roman"/>
          <w:sz w:val="24"/>
        </w:rPr>
        <w:br/>
      </w:r>
      <w:r>
        <w:rPr>
          <w:rFonts w:ascii="Times New Roman"/>
          <w:b w:val="false"/>
          <w:i w:val="false"/>
          <w:color w:val="000000"/>
          <w:sz w:val="24"/>
        </w:rPr>
        <w:t>d.</w:t>
      </w:r>
      <w:r>
        <w:rPr>
          <w:rFonts w:ascii="Times New Roman"/>
          <w:b w:val="false"/>
          <w:i w:val="false"/>
          <w:color w:val="000000"/>
          <w:sz w:val="24"/>
        </w:rPr>
        <w:t>Jerry filed his tax return on May 22, 2023, but has accidentally underreported his taxable income by 30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For the 2022 tax returns, indicate when the statute of limitations expires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Simon filed his tax return on April 10, 2023.</w:t>
      </w:r>
      <w:r>
        <w:rPr>
          <w:rFonts w:ascii="Times New Roman"/>
          <w:sz w:val="24"/>
        </w:rPr>
        <w:br/>
      </w:r>
      <w:r>
        <w:rPr>
          <w:rFonts w:ascii="Times New Roman"/>
          <w:b w:val="false"/>
          <w:i w:val="false"/>
          <w:color w:val="000000"/>
          <w:sz w:val="24"/>
        </w:rPr>
        <w:t>b.</w:t>
      </w:r>
      <w:r>
        <w:rPr>
          <w:rFonts w:ascii="Times New Roman"/>
          <w:b w:val="false"/>
          <w:i w:val="false"/>
          <w:color w:val="000000"/>
          <w:sz w:val="24"/>
        </w:rPr>
        <w:t>Billy and Barbara filed their tax returns late on December 1, 2023.</w:t>
      </w:r>
      <w:r>
        <w:rPr>
          <w:rFonts w:ascii="Times New Roman"/>
          <w:sz w:val="24"/>
        </w:rPr>
        <w:br/>
      </w:r>
      <w:r>
        <w:rPr>
          <w:rFonts w:ascii="Times New Roman"/>
          <w:b w:val="false"/>
          <w:i w:val="false"/>
          <w:color w:val="000000"/>
          <w:sz w:val="24"/>
        </w:rPr>
        <w:t>c.</w:t>
      </w:r>
      <w:r>
        <w:rPr>
          <w:rFonts w:ascii="Times New Roman"/>
          <w:b w:val="false"/>
          <w:i w:val="false"/>
          <w:color w:val="000000"/>
          <w:sz w:val="24"/>
        </w:rPr>
        <w:t>Pearson earns a living through various illegal activities. He filed his tax return on March 14, 2023, but did not report his illegal income on his tax return.</w:t>
      </w:r>
      <w:r>
        <w:rPr>
          <w:rFonts w:ascii="Times New Roman"/>
          <w:sz w:val="24"/>
        </w:rPr>
        <w:br/>
      </w:r>
      <w:r>
        <w:rPr>
          <w:rFonts w:ascii="Times New Roman"/>
          <w:b w:val="false"/>
          <w:i w:val="false"/>
          <w:color w:val="000000"/>
          <w:sz w:val="24"/>
        </w:rPr>
        <w:t>d.</w:t>
      </w:r>
      <w:r>
        <w:rPr>
          <w:rFonts w:ascii="Times New Roman"/>
          <w:b w:val="false"/>
          <w:i w:val="false"/>
          <w:color w:val="000000"/>
          <w:sz w:val="24"/>
        </w:rPr>
        <w:t>Luther filed his tax return on July 17, 2023, but has accidentally underreported his gross income by 20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For the following tax returns, identify the method the IRS likely used to select the return for audit.</w:t>
      </w:r>
      <w:r>
        <w:rPr>
          <w:rFonts w:ascii="Times New Roman"/>
          <w:sz w:val="24"/>
        </w:rPr>
        <w:br/>
      </w:r>
      <w:r>
        <w:rPr>
          <w:rFonts w:ascii="Times New Roman"/>
          <w:b w:val="false"/>
          <w:i w:val="false"/>
          <w:color w:val="000000"/>
          <w:sz w:val="24"/>
        </w:rPr>
        <w:t>a.</w:t>
      </w:r>
      <w:r>
        <w:rPr>
          <w:rFonts w:ascii="Times New Roman"/>
          <w:b w:val="false"/>
          <w:i w:val="false"/>
          <w:color w:val="000000"/>
          <w:sz w:val="24"/>
        </w:rPr>
        <w:t>Dan made a mistake in adding his income on his tax return.</w:t>
      </w:r>
      <w:r>
        <w:rPr>
          <w:rFonts w:ascii="Times New Roman"/>
          <w:sz w:val="24"/>
        </w:rPr>
        <w:br/>
      </w:r>
      <w:r>
        <w:rPr>
          <w:rFonts w:ascii="Times New Roman"/>
          <w:b w:val="false"/>
          <w:i w:val="false"/>
          <w:color w:val="000000"/>
          <w:sz w:val="24"/>
        </w:rPr>
        <w:t>b.</w:t>
      </w:r>
      <w:r>
        <w:rPr>
          <w:rFonts w:ascii="Times New Roman"/>
          <w:b w:val="false"/>
          <w:i w:val="false"/>
          <w:color w:val="000000"/>
          <w:sz w:val="24"/>
        </w:rPr>
        <w:t>Juanita failed to report her salary from her second job on her tax return.</w:t>
      </w:r>
      <w:r>
        <w:rPr>
          <w:rFonts w:ascii="Times New Roman"/>
          <w:sz w:val="24"/>
        </w:rPr>
        <w:br/>
      </w:r>
      <w:r>
        <w:rPr>
          <w:rFonts w:ascii="Times New Roman"/>
          <w:b w:val="false"/>
          <w:i w:val="false"/>
          <w:color w:val="000000"/>
          <w:sz w:val="24"/>
        </w:rPr>
        <w:t>c.</w:t>
      </w:r>
      <w:r>
        <w:rPr>
          <w:rFonts w:ascii="Times New Roman"/>
          <w:b w:val="false"/>
          <w:i w:val="false"/>
          <w:color w:val="000000"/>
          <w:sz w:val="24"/>
        </w:rPr>
        <w:t>Michael and Venita deducted a relatively large amount of travel expenses on their tax return for their business. The travel expense is large relative to other taxpayers in similar businesses with similar levels of income.</w:t>
      </w:r>
      <w:r>
        <w:rPr>
          <w:rFonts w:ascii="Times New Roman"/>
          <w:sz w:val="24"/>
        </w:rPr>
        <w:br/>
      </w:r>
      <w:r>
        <w:rPr>
          <w:rFonts w:ascii="Times New Roman"/>
          <w:b w:val="false"/>
          <w:i w:val="false"/>
          <w:color w:val="000000"/>
          <w:sz w:val="24"/>
        </w:rPr>
        <w:t>d.</w:t>
      </w:r>
      <w:r>
        <w:rPr>
          <w:rFonts w:ascii="Times New Roman"/>
          <w:b w:val="false"/>
          <w:i w:val="false"/>
          <w:color w:val="000000"/>
          <w:sz w:val="24"/>
        </w:rPr>
        <w:t>Paul and Melissa recently went through a very nasty divorce. One of the issues was Paul's less than forthright accounting of his income in determining the appropriate level of alimony.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For the following tax returns, identify which of the three audit types will most likely be utilized.</w:t>
      </w:r>
      <w:r>
        <w:rPr>
          <w:rFonts w:ascii="Times New Roman"/>
          <w:sz w:val="24"/>
        </w:rPr>
        <w:br/>
      </w:r>
      <w:r>
        <w:rPr>
          <w:rFonts w:ascii="Times New Roman"/>
          <w:b w:val="false"/>
          <w:i w:val="false"/>
          <w:color w:val="000000"/>
          <w:sz w:val="24"/>
        </w:rPr>
        <w:t>a.</w:t>
      </w:r>
      <w:r>
        <w:rPr>
          <w:rFonts w:ascii="Times New Roman"/>
          <w:b w:val="false"/>
          <w:i w:val="false"/>
          <w:color w:val="000000"/>
          <w:sz w:val="24"/>
        </w:rPr>
        <w:t>The IRS selected Don's return for audit because of his high itemized deductions. The IRS would like documentation of these deductions.</w:t>
      </w:r>
      <w:r>
        <w:rPr>
          <w:rFonts w:ascii="Times New Roman"/>
          <w:sz w:val="24"/>
        </w:rPr>
        <w:br/>
      </w:r>
      <w:r>
        <w:rPr>
          <w:rFonts w:ascii="Times New Roman"/>
          <w:b w:val="false"/>
          <w:i w:val="false"/>
          <w:color w:val="000000"/>
          <w:sz w:val="24"/>
        </w:rPr>
        <w:t>b.</w:t>
      </w:r>
      <w:r>
        <w:rPr>
          <w:rFonts w:ascii="Times New Roman"/>
          <w:b w:val="false"/>
          <w:i w:val="false"/>
          <w:color w:val="000000"/>
          <w:sz w:val="24"/>
        </w:rPr>
        <w:t>Large Public Corporation is a very large publicly traded corporation. It is involved in many complex transactions that have significant tax ramifications.</w:t>
      </w:r>
      <w:r>
        <w:rPr>
          <w:rFonts w:ascii="Times New Roman"/>
          <w:sz w:val="24"/>
        </w:rPr>
        <w:br/>
      </w:r>
      <w:r>
        <w:rPr>
          <w:rFonts w:ascii="Times New Roman"/>
          <w:b w:val="false"/>
          <w:i w:val="false"/>
          <w:color w:val="000000"/>
          <w:sz w:val="24"/>
        </w:rPr>
        <w:t>c.</w:t>
      </w:r>
      <w:r>
        <w:rPr>
          <w:rFonts w:ascii="Times New Roman"/>
          <w:b w:val="false"/>
          <w:i w:val="false"/>
          <w:color w:val="000000"/>
          <w:sz w:val="24"/>
        </w:rPr>
        <w:t>George and Barbara operate a small business out of their home. The IRS has identified a couple of issues that may relate to their business.</w:t>
      </w:r>
      <w:r>
        <w:rPr>
          <w:rFonts w:ascii="Times New Roman"/>
          <w:sz w:val="24"/>
        </w:rPr>
        <w:br/>
      </w:r>
      <w:r>
        <w:rPr>
          <w:rFonts w:ascii="Times New Roman"/>
          <w:b w:val="false"/>
          <w:i w:val="false"/>
          <w:color w:val="000000"/>
          <w:sz w:val="24"/>
        </w:rPr>
        <w:t>d.</w:t>
      </w:r>
      <w:r>
        <w:rPr>
          <w:rFonts w:ascii="Times New Roman"/>
          <w:b w:val="false"/>
          <w:i w:val="false"/>
          <w:color w:val="000000"/>
          <w:sz w:val="24"/>
        </w:rPr>
        <w:t>The IRS selected Bill and Hillary's tax return for review because of some of their investment sales. They would like a better understanding of the transactions and parties involved.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Kim has decided to litigate a tax issue with the IRS. Describe the trial-level courts that Kim may use to litigate the case.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For the following taxpayers, please recommend the most advantageous trial-level court(s) to litigate a tax issue with the IRS.</w:t>
      </w:r>
      <w:r>
        <w:rPr>
          <w:rFonts w:ascii="Times New Roman"/>
          <w:sz w:val="24"/>
        </w:rPr>
        <w:br/>
      </w:r>
      <w:r>
        <w:rPr>
          <w:rFonts w:ascii="Times New Roman"/>
          <w:b w:val="false"/>
          <w:i w:val="false"/>
          <w:color w:val="000000"/>
          <w:sz w:val="24"/>
        </w:rPr>
        <w:t>a.</w:t>
      </w:r>
      <w:r>
        <w:rPr>
          <w:rFonts w:ascii="Times New Roman"/>
          <w:b w:val="false"/>
          <w:i w:val="false"/>
          <w:color w:val="000000"/>
          <w:sz w:val="24"/>
        </w:rPr>
        <w:t>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w:t>
      </w:r>
      <w:r>
        <w:rPr>
          <w:rFonts w:ascii="Times New Roman"/>
          <w:sz w:val="24"/>
        </w:rPr>
        <w:br/>
      </w:r>
      <w:r>
        <w:rPr>
          <w:rFonts w:ascii="Times New Roman"/>
          <w:b w:val="false"/>
          <w:i w:val="false"/>
          <w:color w:val="000000"/>
          <w:sz w:val="24"/>
        </w:rPr>
        <w:t>b.</w:t>
      </w:r>
      <w:r>
        <w:rPr>
          <w:rFonts w:ascii="Times New Roman"/>
          <w:b w:val="false"/>
          <w:i w:val="false"/>
          <w:color w:val="000000"/>
          <w:sz w:val="24"/>
        </w:rPr>
        <w:t>The Circuit Court of Appeals for the Federal Circuit recently issued an opinion that is very favorable to the issue that Jesse plans to litigate with the IRS.</w:t>
      </w:r>
      <w:r>
        <w:rPr>
          <w:rFonts w:ascii="Times New Roman"/>
          <w:sz w:val="24"/>
        </w:rPr>
        <w:br/>
      </w:r>
      <w:r>
        <w:rPr>
          <w:rFonts w:ascii="Times New Roman"/>
          <w:b w:val="false"/>
          <w:i w:val="false"/>
          <w:color w:val="000000"/>
          <w:sz w:val="24"/>
        </w:rPr>
        <w:t>c.</w:t>
      </w:r>
      <w:r>
        <w:rPr>
          <w:rFonts w:ascii="Times New Roman"/>
          <w:b w:val="false"/>
          <w:i w:val="false"/>
          <w:color w:val="000000"/>
          <w:sz w:val="24"/>
        </w:rPr>
        <w:t>The Circuit Court of Appeals for the Federal Circuit recently issued an opinion that is not favorable to the issue that Hank plans to litigate with the IRS.</w:t>
      </w:r>
      <w:r>
        <w:rPr>
          <w:rFonts w:ascii="Times New Roman"/>
          <w:sz w:val="24"/>
        </w:rPr>
        <w:br/>
      </w:r>
      <w:r>
        <w:rPr>
          <w:rFonts w:ascii="Times New Roman"/>
          <w:b w:val="false"/>
          <w:i w:val="false"/>
          <w:color w:val="000000"/>
          <w:sz w:val="24"/>
        </w:rPr>
        <w:t>d.</w:t>
      </w:r>
      <w:r>
        <w:rPr>
          <w:rFonts w:ascii="Times New Roman"/>
          <w:b w:val="false"/>
          <w:i w:val="false"/>
          <w:color w:val="000000"/>
          <w:sz w:val="24"/>
        </w:rPr>
        <w:t>The 7</w:t>
      </w:r>
      <w:r>
        <w:rPr>
          <w:rFonts w:ascii="Times New Roman"/>
          <w:b w:val="false"/>
          <w:i w:val="false"/>
          <w:color w:val="000000"/>
          <w:sz w:val="24"/>
          <w:vertAlign w:val="superscript"/>
        </w:rPr>
        <w:t>th</w:t>
      </w:r>
      <w:r>
        <w:rPr>
          <w:rFonts w:ascii="Times New Roman"/>
          <w:b w:val="false"/>
          <w:i w:val="false"/>
          <w:color w:val="000000"/>
          <w:sz w:val="24"/>
        </w:rPr>
        <w:t xml:space="preserve"> Circuit (where Elizabeth resides) recently issued an opinion that is very favorable to the issue that Elizabeth plans to litigate with the IRS.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Campbell was researching a tax issue and found a favorable tax court opinion and an IRC Code Section that appear to answer the question. Is she finished with the research process? If so, why? If not, what must she do?</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Caitlin is a tax manager for an accounting firm, and Duff is a first-year staff accountant. Describe the differences in the manner in which Caitlin and Duff may identify research issues and in general how one may identify research questions.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 -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statute of limitations (SOL) ends three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statute of limitations (SOL) ends three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Allen underreported his gross income by 30 percent, the statute of limitations (SOL) ends six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statute of limitations for fraudulent tax returns.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statute of limitations if a taxpayer fails to file a tax return.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National Research Program randomly selects returns for audit to provide the necessary input into the DIF system.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Court and the U.S. District Court will appeal to the 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 Court of Federal Claims will appeal to the U.S. Circuit Court of Appeals for the Federal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Of the authorities listed, only committee reports will be available to aid in understanding a new code section.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88)</w:t>
      </w:r>
      <w:r>
        <w:rPr>
          <w:rFonts w:ascii="Times New Roman" w:hAnsi="Times New Roman"/>
          <w:b w:val="false"/>
          <w:i w:val="false"/>
          <w:color w:val="000000"/>
          <w:sz w:val="32"/>
        </w:rPr>
        <w:t>Tina's tax return is due on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Tina may request an automatic six-month extension to file her tax return (i.e., until October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Extensions allow the taxpayer to delay filing a tax return but </w:t>
      </w:r>
      <w:r>
        <w:rPr>
          <w:rFonts w:ascii="Times New Roman" w:hAnsi="Times New Roman"/>
          <w:b/>
          <w:i/>
          <w:color w:val="000000"/>
          <w:sz w:val="32"/>
          <w:u w:val="single"/>
        </w:rPr>
        <w:t>do</w:t>
      </w:r>
      <w:r>
        <w:rPr>
          <w:rFonts w:ascii="Times New Roman" w:hAnsi="Times New Roman"/>
          <w:b w:val="false"/>
          <w:i w:val="false"/>
          <w:color w:val="000000"/>
          <w:sz w:val="32"/>
        </w:rPr>
        <w:t xml:space="preserve"> </w:t>
      </w:r>
      <w:r>
        <w:rPr>
          <w:rFonts w:ascii="Times New Roman" w:hAnsi="Times New Roman"/>
          <w:b/>
          <w:i/>
          <w:color w:val="000000"/>
          <w:sz w:val="32"/>
          <w:u w:val="single"/>
        </w:rPr>
        <w:t>not</w:t>
      </w:r>
      <w:r>
        <w:rPr>
          <w:rFonts w:ascii="Times New Roman" w:hAnsi="Times New Roman"/>
          <w:b w:val="false"/>
          <w:i w:val="false"/>
          <w:color w:val="000000"/>
          <w:sz w:val="32"/>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89)</w:t>
      </w:r>
      <w:r>
        <w:rPr>
          <w:rFonts w:ascii="Times New Roman" w:hAnsi="Times New Roman"/>
          <w:b w:val="false"/>
          <w:i w:val="false"/>
          <w:color w:val="000000"/>
          <w:sz w:val="32"/>
        </w:rPr>
        <w:t>a.</w:t>
      </w:r>
      <w:r>
        <w:rPr>
          <w:rFonts w:ascii="Times New Roman" w:hAnsi="Times New Roman"/>
          <w:b w:val="false"/>
          <w:i w:val="false"/>
          <w:color w:val="000000"/>
          <w:sz w:val="32"/>
        </w:rPr>
        <w:t>Because his gross income exceeds the applicable gross income threshold, Robert is required to file a tax return.</w:t>
      </w:r>
      <w:r>
        <w:br/>
      </w:r>
      <w:r>
        <w:rPr>
          <w:rFonts w:ascii="Times New Roman" w:hAnsi="Times New Roman"/>
          <w:b w:val="false"/>
          <w:i w:val="false"/>
          <w:color w:val="000000"/>
          <w:sz w:val="32"/>
        </w:rPr>
        <w:t>b.</w:t>
      </w:r>
      <w:r>
        <w:rPr>
          <w:rFonts w:ascii="Times New Roman" w:hAnsi="Times New Roman"/>
          <w:b w:val="false"/>
          <w:i w:val="false"/>
          <w:color w:val="000000"/>
          <w:sz w:val="32"/>
        </w:rPr>
        <w:t>Amy is not required to file a tax return because her income is below the applicable gross income threshold.</w:t>
      </w:r>
      <w:r>
        <w:br/>
      </w:r>
      <w:r>
        <w:rPr>
          <w:rFonts w:ascii="Times New Roman" w:hAnsi="Times New Roman"/>
          <w:b w:val="false"/>
          <w:i w:val="false"/>
          <w:color w:val="000000"/>
          <w:sz w:val="32"/>
        </w:rPr>
        <w:t>c.</w:t>
      </w:r>
      <w:r>
        <w:rPr>
          <w:rFonts w:ascii="Times New Roman" w:hAnsi="Times New Roman"/>
          <w:b w:val="false"/>
          <w:i w:val="false"/>
          <w:color w:val="000000"/>
          <w:sz w:val="32"/>
        </w:rPr>
        <w:t>Ty is not required to file a tax return because his gross income is below the applicable gross income threshold. However, he should file a tax return to receive a refund of the $200 of taxes withheld.</w:t>
      </w:r>
      <w:r>
        <w:br/>
      </w:r>
      <w:r>
        <w:rPr>
          <w:rFonts w:ascii="Times New Roman" w:hAnsi="Times New Roman"/>
          <w:b w:val="false"/>
          <w:i w:val="false"/>
          <w:color w:val="000000"/>
          <w:sz w:val="32"/>
        </w:rPr>
        <w:t>d.</w:t>
      </w:r>
      <w:r>
        <w:rPr>
          <w:rFonts w:ascii="Times New Roman" w:hAnsi="Times New Roman"/>
          <w:b w:val="false"/>
          <w:i w:val="false"/>
          <w:color w:val="000000"/>
          <w:sz w:val="32"/>
        </w:rPr>
        <w:t>Startup Corporation is required to file a tax return as all corporations are required to file an annual tax return regardless of their profitability.</w:t>
      </w:r>
      <w:r>
        <w:br/>
      </w:r>
      <w:r>
        <w:rPr>
          <w:rFonts w:ascii="Times New Roman" w:hAnsi="Times New Roman"/>
          <w:b w:val="false"/>
          <w:i w:val="false"/>
          <w:color w:val="000000"/>
          <w:sz w:val="32"/>
        </w:rPr>
        <w:t>e.</w:t>
      </w:r>
      <w:r>
        <w:rPr>
          <w:rFonts w:ascii="Times New Roman" w:hAnsi="Times New Roman"/>
          <w:b w:val="false"/>
          <w:i w:val="false"/>
          <w:color w:val="000000"/>
          <w:sz w:val="32"/>
        </w:rPr>
        <w:t>Because the trust's income is below the applicable threshold, the Walker Family Trust is not required to file a tax return this year.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90)</w:t>
      </w:r>
      <w:r>
        <w:rPr>
          <w:rFonts w:ascii="Times New Roman" w:hAnsi="Times New Roman"/>
          <w:b w:val="false"/>
          <w:i w:val="false"/>
          <w:color w:val="000000"/>
          <w:sz w:val="32"/>
        </w:rPr>
        <w:t>a.</w:t>
      </w:r>
      <w:r>
        <w:rPr>
          <w:rFonts w:ascii="Times New Roman" w:hAnsi="Times New Roman"/>
          <w:b w:val="false"/>
          <w:i w:val="false"/>
          <w:color w:val="000000"/>
          <w:sz w:val="32"/>
        </w:rPr>
        <w:t>April 15, 2026. The statute of limitations expires three years from the later of the original due date of the return or the date the return was filed.</w:t>
      </w:r>
      <w:r>
        <w:br/>
      </w:r>
      <w:r>
        <w:rPr>
          <w:rFonts w:ascii="Times New Roman" w:hAnsi="Times New Roman"/>
          <w:b w:val="false"/>
          <w:i w:val="false"/>
          <w:color w:val="000000"/>
          <w:sz w:val="32"/>
        </w:rPr>
        <w:t>b.</w:t>
      </w:r>
      <w:r>
        <w:rPr>
          <w:rFonts w:ascii="Times New Roman" w:hAnsi="Times New Roman"/>
          <w:b w:val="false"/>
          <w:i w:val="false"/>
          <w:color w:val="000000"/>
          <w:sz w:val="32"/>
        </w:rPr>
        <w:t>August 16, 2026. The statute of limitations expires three years from the later of the original due date of the return or the date the return was filed.</w:t>
      </w:r>
      <w:r>
        <w:br/>
      </w:r>
      <w:r>
        <w:rPr>
          <w:rFonts w:ascii="Times New Roman" w:hAnsi="Times New Roman"/>
          <w:b w:val="false"/>
          <w:i w:val="false"/>
          <w:color w:val="000000"/>
          <w:sz w:val="32"/>
        </w:rPr>
        <w:t>c.</w:t>
      </w:r>
      <w:r>
        <w:rPr>
          <w:rFonts w:ascii="Times New Roman" w:hAnsi="Times New Roman"/>
          <w:b w:val="false"/>
          <w:i w:val="false"/>
          <w:color w:val="000000"/>
          <w:sz w:val="32"/>
        </w:rPr>
        <w:t>Because Catherine failed to file a tax return, the statute of limitations will not lapse for her 2022 tax return.</w:t>
      </w:r>
      <w:r>
        <w:br/>
      </w:r>
      <w:r>
        <w:rPr>
          <w:rFonts w:ascii="Times New Roman" w:hAnsi="Times New Roman"/>
          <w:b w:val="false"/>
          <w:i w:val="false"/>
          <w:color w:val="000000"/>
          <w:sz w:val="32"/>
        </w:rPr>
        <w:t>d.</w:t>
      </w:r>
      <w:r>
        <w:rPr>
          <w:rFonts w:ascii="Times New Roman" w:hAnsi="Times New Roman"/>
          <w:b w:val="false"/>
          <w:i w:val="false"/>
          <w:color w:val="000000"/>
          <w:sz w:val="32"/>
        </w:rPr>
        <w:t>May 22, 2029. Because Jerry underreported his gross income by 30 percent, the statute of limitations is extended to six years.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91)</w:t>
      </w:r>
      <w:r>
        <w:rPr>
          <w:rFonts w:ascii="Times New Roman" w:hAnsi="Times New Roman"/>
          <w:b w:val="false"/>
          <w:i w:val="false"/>
          <w:color w:val="000000"/>
          <w:sz w:val="32"/>
        </w:rPr>
        <w:t>a.</w:t>
      </w:r>
      <w:r>
        <w:rPr>
          <w:rFonts w:ascii="Times New Roman" w:hAnsi="Times New Roman"/>
          <w:b w:val="false"/>
          <w:i w:val="false"/>
          <w:color w:val="000000"/>
          <w:sz w:val="32"/>
        </w:rPr>
        <w:t>April 15, 2026. The statute of limitations expires three years from the later of the original due date of the return or the date the return was filed.</w:t>
      </w:r>
      <w:r>
        <w:br/>
      </w:r>
      <w:r>
        <w:rPr>
          <w:rFonts w:ascii="Times New Roman" w:hAnsi="Times New Roman"/>
          <w:b w:val="false"/>
          <w:i w:val="false"/>
          <w:color w:val="000000"/>
          <w:sz w:val="32"/>
        </w:rPr>
        <w:t>b.</w:t>
      </w:r>
      <w:r>
        <w:rPr>
          <w:rFonts w:ascii="Times New Roman" w:hAnsi="Times New Roman"/>
          <w:b w:val="false"/>
          <w:i w:val="false"/>
          <w:color w:val="000000"/>
          <w:sz w:val="32"/>
        </w:rPr>
        <w:t>December 1, 2026. The statute of limitations expires three years from the later of the original due date of the return or the date the return was filed.</w:t>
      </w:r>
      <w:r>
        <w:br/>
      </w:r>
      <w:r>
        <w:rPr>
          <w:rFonts w:ascii="Times New Roman" w:hAnsi="Times New Roman"/>
          <w:b w:val="false"/>
          <w:i w:val="false"/>
          <w:color w:val="000000"/>
          <w:sz w:val="32"/>
        </w:rPr>
        <w:t>c.</w:t>
      </w:r>
      <w:r>
        <w:rPr>
          <w:rFonts w:ascii="Times New Roman" w:hAnsi="Times New Roman"/>
          <w:b w:val="false"/>
          <w:i w:val="false"/>
          <w:color w:val="000000"/>
          <w:sz w:val="32"/>
        </w:rPr>
        <w:t>Because Pearson filed a fraudulent tax return, the statute of limitations will not lapse for his 2022 tax return.</w:t>
      </w:r>
      <w:r>
        <w:br/>
      </w:r>
      <w:r>
        <w:rPr>
          <w:rFonts w:ascii="Times New Roman" w:hAnsi="Times New Roman"/>
          <w:b w:val="false"/>
          <w:i w:val="false"/>
          <w:color w:val="000000"/>
          <w:sz w:val="32"/>
        </w:rPr>
        <w:t>d.</w:t>
      </w:r>
      <w:r>
        <w:rPr>
          <w:rFonts w:ascii="Times New Roman" w:hAnsi="Times New Roman"/>
          <w:b w:val="false"/>
          <w:i w:val="false"/>
          <w:color w:val="000000"/>
          <w:sz w:val="32"/>
        </w:rPr>
        <w:t>July 17, 2026. Because Luther accidentally underreported his gross income by only 20 percent, the statute of limitations will expire three years from the date the return is filed (i.e., the statute of limitations is not extended to six years).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92)</w:t>
      </w:r>
      <w:r>
        <w:rPr>
          <w:rFonts w:ascii="Times New Roman" w:hAnsi="Times New Roman"/>
          <w:b w:val="false"/>
          <w:i w:val="false"/>
          <w:color w:val="000000"/>
          <w:sz w:val="32"/>
        </w:rPr>
        <w:t>a.</w:t>
      </w:r>
      <w:r>
        <w:rPr>
          <w:rFonts w:ascii="Times New Roman" w:hAnsi="Times New Roman"/>
          <w:b w:val="false"/>
          <w:i w:val="false"/>
          <w:color w:val="000000"/>
          <w:sz w:val="32"/>
        </w:rPr>
        <w:t>Document perfection</w:t>
      </w:r>
      <w:r>
        <w:br/>
      </w:r>
      <w:r>
        <w:rPr>
          <w:rFonts w:ascii="Times New Roman" w:hAnsi="Times New Roman"/>
          <w:b w:val="false"/>
          <w:i w:val="false"/>
          <w:color w:val="000000"/>
          <w:sz w:val="32"/>
        </w:rPr>
        <w:t>b.</w:t>
      </w:r>
      <w:r>
        <w:rPr>
          <w:rFonts w:ascii="Times New Roman" w:hAnsi="Times New Roman"/>
          <w:b w:val="false"/>
          <w:i w:val="false"/>
          <w:color w:val="000000"/>
          <w:sz w:val="32"/>
        </w:rPr>
        <w:t>Information matching</w:t>
      </w:r>
      <w:r>
        <w:br/>
      </w:r>
      <w:r>
        <w:rPr>
          <w:rFonts w:ascii="Times New Roman" w:hAnsi="Times New Roman"/>
          <w:b w:val="false"/>
          <w:i w:val="false"/>
          <w:color w:val="000000"/>
          <w:sz w:val="32"/>
        </w:rPr>
        <w:t>c.</w:t>
      </w:r>
      <w:r>
        <w:rPr>
          <w:rFonts w:ascii="Times New Roman" w:hAnsi="Times New Roman"/>
          <w:b w:val="false"/>
          <w:i w:val="false"/>
          <w:color w:val="000000"/>
          <w:sz w:val="32"/>
        </w:rPr>
        <w:t>DIF system</w:t>
      </w:r>
      <w:r>
        <w:br/>
      </w:r>
      <w:r>
        <w:rPr>
          <w:rFonts w:ascii="Times New Roman" w:hAnsi="Times New Roman"/>
          <w:b w:val="false"/>
          <w:i w:val="false"/>
          <w:color w:val="000000"/>
          <w:sz w:val="32"/>
        </w:rPr>
        <w:t>d.</w:t>
      </w:r>
      <w:r>
        <w:rPr>
          <w:rFonts w:ascii="Times New Roman" w:hAnsi="Times New Roman"/>
          <w:b w:val="false"/>
          <w:i w:val="false"/>
          <w:color w:val="000000"/>
          <w:sz w:val="32"/>
        </w:rPr>
        <w:t>Spousal tip.</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93)</w:t>
      </w:r>
      <w:r>
        <w:rPr>
          <w:rFonts w:ascii="Times New Roman" w:hAnsi="Times New Roman"/>
          <w:b w:val="false"/>
          <w:i w:val="false"/>
          <w:color w:val="000000"/>
          <w:sz w:val="32"/>
        </w:rPr>
        <w:t>a.</w:t>
      </w:r>
      <w:r>
        <w:rPr>
          <w:rFonts w:ascii="Times New Roman" w:hAnsi="Times New Roman"/>
          <w:b w:val="false"/>
          <w:i w:val="false"/>
          <w:color w:val="000000"/>
          <w:sz w:val="32"/>
        </w:rPr>
        <w:t>Correspondence examination</w:t>
      </w:r>
      <w:r>
        <w:br/>
      </w:r>
      <w:r>
        <w:rPr>
          <w:rFonts w:ascii="Times New Roman" w:hAnsi="Times New Roman"/>
          <w:b w:val="false"/>
          <w:i w:val="false"/>
          <w:color w:val="000000"/>
          <w:sz w:val="32"/>
        </w:rPr>
        <w:t>b.</w:t>
      </w:r>
      <w:r>
        <w:rPr>
          <w:rFonts w:ascii="Times New Roman" w:hAnsi="Times New Roman"/>
          <w:b w:val="false"/>
          <w:i w:val="false"/>
          <w:color w:val="000000"/>
          <w:sz w:val="32"/>
        </w:rPr>
        <w:t>Field examination</w:t>
      </w:r>
      <w:r>
        <w:br/>
      </w:r>
      <w:r>
        <w:rPr>
          <w:rFonts w:ascii="Times New Roman" w:hAnsi="Times New Roman"/>
          <w:b w:val="false"/>
          <w:i w:val="false"/>
          <w:color w:val="000000"/>
          <w:sz w:val="32"/>
        </w:rPr>
        <w:t>c.</w:t>
      </w:r>
      <w:r>
        <w:rPr>
          <w:rFonts w:ascii="Times New Roman" w:hAnsi="Times New Roman"/>
          <w:b w:val="false"/>
          <w:i w:val="false"/>
          <w:color w:val="000000"/>
          <w:sz w:val="32"/>
        </w:rPr>
        <w:t>Office examination</w:t>
      </w:r>
      <w:r>
        <w:br/>
      </w:r>
      <w:r>
        <w:rPr>
          <w:rFonts w:ascii="Times New Roman" w:hAnsi="Times New Roman"/>
          <w:b w:val="false"/>
          <w:i w:val="false"/>
          <w:color w:val="000000"/>
          <w:sz w:val="32"/>
        </w:rPr>
        <w:t>d.</w:t>
      </w:r>
      <w:r>
        <w:rPr>
          <w:rFonts w:ascii="Times New Roman" w:hAnsi="Times New Roman"/>
          <w:b w:val="false"/>
          <w:i w:val="false"/>
          <w:color w:val="000000"/>
          <w:sz w:val="32"/>
        </w:rPr>
        <w:t>Correspondence examination and possibly an office examination.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w:t>
      </w:r>
      <w:r>
        <w:rPr>
          <w:rFonts w:ascii="Times New Roman" w:hAnsi="Times New Roman"/>
          <w:b w:val="false"/>
          <w:i w:val="false"/>
          <w:color w:val="000000"/>
          <w:sz w:val="32"/>
        </w:rPr>
        <w:t>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w:t>
      </w:r>
      <w:r>
        <w:rPr>
          <w:rFonts w:ascii="Times New Roman" w:hAnsi="Times New Roman"/>
          <w:b w:val="false"/>
          <w:i w:val="false"/>
          <w:color w:val="000000"/>
          <w:sz w:val="32"/>
        </w:rPr>
        <w:t>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w:t>
      </w:r>
      <w:r>
        <w:rPr>
          <w:rFonts w:ascii="Times New Roman" w:hAnsi="Times New Roman"/>
          <w:b w:val="false"/>
          <w:i w:val="false"/>
          <w:color w:val="000000"/>
          <w:sz w:val="32"/>
        </w:rPr>
        <w:t>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w:t>
      </w:r>
      <w:r>
        <w:rPr>
          <w:rFonts w:ascii="Times New Roman" w:hAnsi="Times New Roman"/>
          <w:b w:val="false"/>
          <w:i w:val="false"/>
          <w:color w:val="000000"/>
          <w:sz w:val="32"/>
        </w:rPr>
        <w:t>a.</w:t>
      </w:r>
      <w:r>
        <w:rPr>
          <w:rFonts w:ascii="Times New Roman" w:hAnsi="Times New Roman"/>
          <w:b w:val="false"/>
          <w:i w:val="false"/>
          <w:color w:val="000000"/>
          <w:sz w:val="32"/>
        </w:rPr>
        <w:t>U.S. District Court because it is the only court that offers a jury trial.</w:t>
      </w:r>
      <w:r>
        <w:br/>
      </w:r>
      <w:r>
        <w:rPr>
          <w:rFonts w:ascii="Times New Roman" w:hAnsi="Times New Roman"/>
          <w:b w:val="false"/>
          <w:i w:val="false"/>
          <w:color w:val="000000"/>
          <w:sz w:val="32"/>
        </w:rPr>
        <w:t>b.</w:t>
      </w:r>
      <w:r>
        <w:rPr>
          <w:rFonts w:ascii="Times New Roman" w:hAnsi="Times New Roman"/>
          <w:b w:val="false"/>
          <w:i w:val="false"/>
          <w:color w:val="000000"/>
          <w:sz w:val="32"/>
        </w:rPr>
        <w:t>The U.S. Court of Federal Claims because its appellate court is the Circuit Court of Appeals for the Federal Circuit.</w:t>
      </w:r>
      <w:r>
        <w:br/>
      </w:r>
      <w:r>
        <w:rPr>
          <w:rFonts w:ascii="Times New Roman" w:hAnsi="Times New Roman"/>
          <w:b w:val="false"/>
          <w:i w:val="false"/>
          <w:color w:val="000000"/>
          <w:sz w:val="32"/>
        </w:rPr>
        <w:t>c.</w:t>
      </w:r>
      <w:r>
        <w:rPr>
          <w:rFonts w:ascii="Times New Roman" w:hAnsi="Times New Roman"/>
          <w:b w:val="false"/>
          <w:i w:val="false"/>
          <w:color w:val="000000"/>
          <w:sz w:val="32"/>
        </w:rPr>
        <w:t>The U.S. Tax Court or the U.S. District Court because they will not appeal to the Circuit Court of Appeals for the Federal Circuit.</w:t>
      </w:r>
      <w:r>
        <w:br/>
      </w:r>
      <w:r>
        <w:rPr>
          <w:rFonts w:ascii="Times New Roman" w:hAnsi="Times New Roman"/>
          <w:b w:val="false"/>
          <w:i w:val="false"/>
          <w:color w:val="000000"/>
          <w:sz w:val="32"/>
        </w:rPr>
        <w:t>d.</w:t>
      </w:r>
      <w:r>
        <w:rPr>
          <w:rFonts w:ascii="Times New Roman" w:hAnsi="Times New Roman"/>
          <w:b w:val="false"/>
          <w:i w:val="false"/>
          <w:color w:val="000000"/>
          <w:sz w:val="32"/>
        </w:rPr>
        <w:t>The U.S. Tax Court or the U.S. District Court because they will appeal to the 7</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98)</w:t>
      </w:r>
      <w:r>
        <w:rPr>
          <w:rFonts w:ascii="Times New Roman" w:hAnsi="Times New Roman"/>
          <w:b w:val="false"/>
          <w:i w:val="false"/>
          <w:color w:val="000000"/>
          <w:sz w:val="32"/>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hAnsi="Times New Roman"/>
          <w:b w:val="false"/>
          <w:i/>
          <w:color w:val="000000"/>
          <w:sz w:val="32"/>
        </w:rPr>
        <w:t>all</w:t>
      </w:r>
      <w:r>
        <w:rPr>
          <w:rFonts w:ascii="Times New Roman" w:hAnsi="Times New Roman"/>
          <w:b w:val="false"/>
          <w:i w:val="false"/>
          <w:color w:val="000000"/>
          <w:sz w:val="32"/>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99)</w:t>
      </w:r>
      <w:r>
        <w:rPr>
          <w:rFonts w:ascii="Times New Roman" w:hAnsi="Times New Roman"/>
          <w:b w:val="false"/>
          <w:i w:val="false"/>
          <w:color w:val="000000"/>
          <w:sz w:val="32"/>
        </w:rPr>
        <w:t>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w:t>
      </w:r>
      <w:r>
        <w:br/>
      </w:r>
      <w:r>
        <w:rPr>
          <w:rFonts w:ascii="Times New Roman" w:hAnsi="Times New Roman"/>
          <w:b w:val="false"/>
          <w:i w:val="false"/>
          <w:color w:val="000000"/>
          <w:sz w:val="32"/>
        </w:rPr>
        <w: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w:t>
      </w:r>
      <w:r>
        <w:rPr>
          <w:rFonts w:ascii="Times New Roman" w:hAnsi="Times New Roman"/>
          <w:b w:val="false"/>
          <w:i w:val="false"/>
          <w:color w:val="000000"/>
          <w:sz w:val="32"/>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br/>
      </w:r>
      <w:r>
        <w:rPr>
          <w:rFonts w:ascii="Times New Roman" w:hAnsi="Times New Roman"/>
          <w:b w:val="false"/>
          <w:i w:val="false"/>
          <w:color w:val="000000"/>
          <w:sz w:val="32"/>
        </w:rPr>
        <w:t xml:space="preserve">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hAnsi="Times New Roman"/>
          <w:b w:val="false"/>
          <w:i/>
          <w:color w:val="000000"/>
          <w:sz w:val="32"/>
        </w:rPr>
        <w:t>Mayo</w:t>
      </w:r>
      <w:r>
        <w:rPr>
          <w:rFonts w:ascii="Times New Roman" w:hAnsi="Times New Roman"/>
          <w:b w:val="false"/>
          <w:i w:val="false"/>
          <w:color w:val="000000"/>
          <w:sz w:val="32"/>
        </w:rPr>
        <w:t xml:space="preserve"> </w:t>
      </w:r>
      <w:r>
        <w:rPr>
          <w:rFonts w:ascii="Times New Roman" w:hAnsi="Times New Roman"/>
          <w:b w:val="false"/>
          <w:i/>
          <w:color w:val="000000"/>
          <w:sz w:val="32"/>
        </w:rPr>
        <w:t>Foundation</w:t>
      </w:r>
      <w:r>
        <w:rPr>
          <w:rFonts w:ascii="Times New Roman" w:hAnsi="Times New Roman"/>
          <w:b w:val="false"/>
          <w:i w:val="false"/>
          <w:color w:val="000000"/>
          <w:sz w:val="32"/>
        </w:rPr>
        <w:t xml:space="preserve"> </w:t>
      </w:r>
      <w:r>
        <w:rPr>
          <w:rFonts w:ascii="Times New Roman" w:hAnsi="Times New Roman"/>
          <w:b w:val="false"/>
          <w:i/>
          <w:color w:val="000000"/>
          <w:sz w:val="32"/>
        </w:rPr>
        <w:t>for</w:t>
      </w:r>
      <w:r>
        <w:rPr>
          <w:rFonts w:ascii="Times New Roman" w:hAnsi="Times New Roman"/>
          <w:b w:val="false"/>
          <w:i w:val="false"/>
          <w:color w:val="000000"/>
          <w:sz w:val="32"/>
        </w:rPr>
        <w:t xml:space="preserve"> </w:t>
      </w:r>
      <w:r>
        <w:rPr>
          <w:rFonts w:ascii="Times New Roman" w:hAnsi="Times New Roman"/>
          <w:b w:val="false"/>
          <w:i/>
          <w:color w:val="000000"/>
          <w:sz w:val="32"/>
        </w:rPr>
        <w:t>Medical</w:t>
      </w:r>
      <w:r>
        <w:rPr>
          <w:rFonts w:ascii="Times New Roman" w:hAnsi="Times New Roman"/>
          <w:b w:val="false"/>
          <w:i w:val="false"/>
          <w:color w:val="000000"/>
          <w:sz w:val="32"/>
        </w:rPr>
        <w:t xml:space="preserve"> </w:t>
      </w:r>
      <w:r>
        <w:rPr>
          <w:rFonts w:ascii="Times New Roman" w:hAnsi="Times New Roman"/>
          <w:b w:val="false"/>
          <w:i/>
          <w:color w:val="000000"/>
          <w:sz w:val="32"/>
        </w:rPr>
        <w:t>Education</w:t>
      </w:r>
      <w:r>
        <w:rPr>
          <w:rFonts w:ascii="Times New Roman" w:hAnsi="Times New Roman"/>
          <w:b w:val="false"/>
          <w:i w:val="false"/>
          <w:color w:val="000000"/>
          <w:sz w:val="32"/>
        </w:rPr>
        <w:t xml:space="preserve"> </w:t>
      </w:r>
      <w:r>
        <w:rPr>
          <w:rFonts w:ascii="Times New Roman" w:hAnsi="Times New Roman"/>
          <w:b w:val="false"/>
          <w:i/>
          <w:color w:val="000000"/>
          <w:sz w:val="32"/>
        </w:rPr>
        <w:t>&amp;</w:t>
      </w:r>
      <w:r>
        <w:rPr>
          <w:rFonts w:ascii="Times New Roman" w:hAnsi="Times New Roman"/>
          <w:b w:val="false"/>
          <w:i w:val="false"/>
          <w:color w:val="000000"/>
          <w:sz w:val="32"/>
        </w:rPr>
        <w:t xml:space="preserve"> </w:t>
      </w:r>
      <w:r>
        <w:rPr>
          <w:rFonts w:ascii="Times New Roman" w:hAnsi="Times New Roman"/>
          <w:b w:val="false"/>
          <w:i/>
          <w:color w:val="000000"/>
          <w:sz w:val="32"/>
        </w:rPr>
        <w:t>Research</w:t>
      </w:r>
      <w:r>
        <w:rPr>
          <w:rFonts w:ascii="Times New Roman" w:hAnsi="Times New Roman"/>
          <w:b w:val="false"/>
          <w:i w:val="false"/>
          <w:color w:val="000000"/>
          <w:sz w:val="32"/>
        </w:rPr>
        <w:t xml:space="preserve"> </w:t>
      </w:r>
      <w:r>
        <w:rPr>
          <w:rFonts w:ascii="Times New Roman" w:hAnsi="Times New Roman"/>
          <w:b w:val="false"/>
          <w:i/>
          <w:color w:val="000000"/>
          <w:sz w:val="32"/>
        </w:rPr>
        <w:t>v.</w:t>
      </w:r>
      <w:r>
        <w:rPr>
          <w:rFonts w:ascii="Times New Roman" w:hAnsi="Times New Roman"/>
          <w:b w:val="false"/>
          <w:i w:val="false"/>
          <w:color w:val="000000"/>
          <w:sz w:val="32"/>
        </w:rPr>
        <w:t xml:space="preserve"> </w:t>
      </w:r>
      <w:r>
        <w:rPr>
          <w:rFonts w:ascii="Times New Roman" w:hAnsi="Times New Roman"/>
          <w:b w:val="false"/>
          <w:i/>
          <w:color w:val="000000"/>
          <w:sz w:val="32"/>
        </w:rPr>
        <w:t>U.S.</w:t>
      </w:r>
      <w:r>
        <w:rPr>
          <w:rFonts w:ascii="Times New Roman" w:hAnsi="Times New Roman"/>
          <w:b w:val="false"/>
          <w:i w:val="false"/>
          <w:color w:val="000000"/>
          <w:sz w:val="32"/>
        </w:rPr>
        <w:t>, 131 S.Ct. 704 (2011), the Supreme Court held (subject to specific conditions) that all Treasury regulations warrant deference.</w:t>
      </w:r>
      <w:r>
        <w:br/>
      </w:r>
      <w:r>
        <w:rPr>
          <w:rFonts w:ascii="Times New Roman" w:hAnsi="Times New Roman"/>
          <w:b w:val="false"/>
          <w:i w:val="false"/>
          <w:color w:val="000000"/>
          <w:sz w:val="32"/>
        </w:rPr>
        <w:t>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w:t>
      </w:r>
      <w:r>
        <w:rPr>
          <w:rFonts w:ascii="Times New Roman" w:hAnsi="Times New Roman"/>
          <w:b w:val="false"/>
          <w:i w:val="false"/>
          <w:color w:val="000000"/>
          <w:sz w:val="32"/>
        </w:rPr>
        <w:t>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w:t>
      </w:r>
      <w:r>
        <w:rPr>
          <w:rFonts w:ascii="Times New Roman" w:hAnsi="Times New Roman"/>
          <w:b w:val="false"/>
          <w:i w:val="false"/>
          <w:color w:val="000000"/>
          <w:sz w:val="32"/>
        </w:rPr>
        <w:t>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w:t>
      </w:r>
      <w:r>
        <w:rPr>
          <w:rFonts w:ascii="Times New Roman" w:hAnsi="Times New Roman"/>
          <w:b w:val="false"/>
          <w:i w:val="false"/>
          <w:color w:val="000000"/>
          <w:sz w:val="32"/>
        </w:rPr>
        <w:t xml:space="preserve">In rendering court decisions, all courts apply the judicial doctrine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This doctrine means that a court will rule consistently with (a) its previous rulings (i.e., unless, due to evolving interpretations of the tax law over time, they decide to overturn an earlier decision) and (b) the rulings of higher courts with appellate jurisdiction (i.e., the courts their cases are appealed to). The implication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is that a circuit court will abide by Supreme Court rulings and its own rulings, whereas a trial-level court will abide by Supreme Court rulings, its respective circuit court's rulings, and its own rulings. For example, a district court in California would follow 9</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 and Supreme Court rulings as well as the court's own rulings.</w:t>
      </w:r>
      <w:r>
        <w:br/>
      </w:r>
      <w:r>
        <w:rPr>
          <w:rFonts w:ascii="Times New Roman" w:hAnsi="Times New Roman"/>
          <w:b w:val="false"/>
          <w:i w:val="false"/>
          <w:color w:val="000000"/>
          <w:sz w:val="32"/>
        </w:rPr>
        <w:t xml:space="preserve">The doctrine of </w:t>
      </w:r>
      <w:r>
        <w:rPr>
          <w:rFonts w:ascii="Times New Roman" w:hAnsi="Times New Roman"/>
          <w:b w:val="false"/>
          <w:i/>
          <w:color w:val="000000"/>
          <w:sz w:val="32"/>
        </w:rPr>
        <w:t>stare decisis</w:t>
      </w:r>
      <w:r>
        <w:rPr>
          <w:rFonts w:ascii="Times New Roman" w:hAnsi="Times New Roman"/>
          <w:b w:val="false"/>
          <w:i w:val="false"/>
          <w:color w:val="000000"/>
          <w:sz w:val="32"/>
        </w:rPr>
        <w:t xml:space="preserve"> presents a special problem for the U.S. Tax Court because it appeals to different circuits based on the taxpayer's residence. To implement the doctrine of </w:t>
      </w:r>
      <w:r>
        <w:rPr>
          <w:rFonts w:ascii="Times New Roman" w:hAnsi="Times New Roman"/>
          <w:b w:val="false"/>
          <w:i/>
          <w:color w:val="000000"/>
          <w:sz w:val="32"/>
        </w:rPr>
        <w:t>stare decisis</w:t>
      </w:r>
      <w:r>
        <w:rPr>
          <w:rFonts w:ascii="Times New Roman" w:hAnsi="Times New Roman"/>
          <w:b w:val="false"/>
          <w:i w:val="false"/>
          <w:color w:val="000000"/>
          <w:sz w:val="32"/>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w:t>
      </w:r>
      <w:r>
        <w:rPr>
          <w:rFonts w:ascii="Times New Roman" w:hAnsi="Times New Roman"/>
          <w:b w:val="false"/>
          <w:i w:val="false"/>
          <w:color w:val="000000"/>
          <w:sz w:val="32"/>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w:t>
      </w:r>
      <w:r>
        <w:rPr>
          <w:rFonts w:ascii="Times New Roman" w:hAnsi="Times New Roman"/>
          <w:b w:val="false"/>
          <w:i w:val="false"/>
          <w:color w:val="000000"/>
          <w:sz w:val="32"/>
        </w:rPr>
        <w:t>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106)</w:t>
      </w:r>
      <w:r>
        <w:rPr>
          <w:rFonts w:ascii="Times New Roman" w:hAnsi="Times New Roman"/>
          <w:b w:val="false"/>
          <w:i w:val="false"/>
          <w:color w:val="000000"/>
          <w:sz w:val="32"/>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br/>
      </w:r>
      <w:r>
        <w:rPr>
          <w:rFonts w:ascii="Times New Roman" w:hAnsi="Times New Roman"/>
          <w:b w:val="false"/>
          <w:i w:val="false"/>
          <w:color w:val="000000"/>
          <w:sz w:val="32"/>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w:t>
      </w:r>
      <w:r>
        <w:rPr>
          <w:rFonts w:ascii="Times New Roman" w:hAnsi="Times New Roman"/>
          <w:b w:val="false"/>
          <w:i w:val="false"/>
          <w:color w:val="000000"/>
          <w:sz w:val="32"/>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br/>
      </w:r>
      <w:r>
        <w:rPr>
          <w:rFonts w:ascii="Times New Roman" w:hAnsi="Times New Roman"/>
          <w:b w:val="false"/>
          <w:i w:val="false"/>
          <w:color w:val="000000"/>
          <w:sz w:val="32"/>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 (1) Is this item of expense deductible? (2) Is that item of income taxable? (3) In what year should the expense be deducted? (4) In what year should the item of income be taxed? etc. After you identify these types of general issues, your research will enable you to identify the more specific issues that ultimately determine the tax ramifications of the transaction being researched.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w:t>
      </w:r>
      <w:r>
        <w:rPr>
          <w:rFonts w:ascii="Times New Roman" w:hAnsi="Times New Roman"/>
          <w:b w:val="false"/>
          <w:i w:val="false"/>
          <w:color w:val="000000"/>
          <w:sz w:val="32"/>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br/>
      </w:r>
      <w:r>
        <w:rPr>
          <w:rFonts w:ascii="Times New Roman" w:hAnsi="Times New Roman"/>
          <w:b w:val="false"/>
          <w:i w:val="false"/>
          <w:color w:val="000000"/>
          <w:sz w:val="32"/>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w:t>
      </w:r>
      <w:r>
        <w:rPr>
          <w:rFonts w:ascii="Times New Roman" w:hAnsi="Times New Roman"/>
          <w:b w:val="false"/>
          <w:i w:val="false"/>
          <w:color w:val="000000"/>
          <w:sz w:val="32"/>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 (1) the relevant area of law and (2) a fact or two that describes the transaction. Try to avoid keywords that are too broad (e.g., income, deduction, taxable, etc.) or that may be too narrow.</w:t>
      </w:r>
      <w:r>
        <w:br/>
      </w:r>
      <w:r>
        <w:rPr>
          <w:rFonts w:ascii="Times New Roman" w:hAnsi="Times New Roman"/>
          <w:b w:val="false"/>
          <w:i w:val="false"/>
          <w:color w:val="000000"/>
          <w:sz w:val="32"/>
        </w:rPr>
        <w:t>If keyword searching is not proving beneficial, check your spelling, make sure you are searching the correct database, rethink your keywords, use another research method, use another tax service, or as a last resort, take a break.</w:t>
      </w:r>
      <w:r>
        <w:br/>
      </w:r>
      <w:r>
        <w:rPr>
          <w:rFonts w:ascii="Times New Roman" w:hAnsi="Times New Roman"/>
          <w:b w:val="false"/>
          <w:i w:val="false"/>
          <w:color w:val="000000"/>
          <w:sz w:val="32"/>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w:t>
      </w:r>
      <w:r>
        <w:rPr>
          <w:rFonts w:ascii="Times New Roman" w:hAnsi="Times New Roman"/>
          <w:b w:val="false"/>
          <w:i w:val="false"/>
          <w:color w:val="000000"/>
          <w:sz w:val="32"/>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 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br/>
      </w:r>
      <w:r>
        <w:rPr>
          <w:rFonts w:ascii="Times New Roman" w:hAnsi="Times New Roman"/>
          <w:b w:val="false"/>
          <w:i w:val="false"/>
          <w:color w:val="000000"/>
          <w:sz w:val="32"/>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w:t>
      </w:r>
      <w:r>
        <w:rPr>
          <w:rFonts w:ascii="Times New Roman" w:hAnsi="Times New Roman"/>
          <w:b w:val="false"/>
          <w:i w:val="false"/>
          <w:color w:val="000000"/>
          <w:sz w:val="32"/>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br/>
      </w:r>
      <w:r>
        <w:rPr>
          <w:rFonts w:ascii="Times New Roman" w:hAnsi="Times New Roman"/>
          <w:b w:val="false"/>
          <w:i w:val="false"/>
          <w:color w:val="000000"/>
          <w:sz w:val="32"/>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br/>
      </w:r>
      <w:r>
        <w:rPr>
          <w:rFonts w:ascii="Times New Roman" w:hAnsi="Times New Roman"/>
          <w:b w:val="false"/>
          <w:i w:val="false"/>
          <w:color w:val="000000"/>
          <w:sz w:val="32"/>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w:t>
      </w:r>
      <w:r>
        <w:rPr>
          <w:rFonts w:ascii="Times New Roman" w:hAnsi="Times New Roman"/>
          <w:b w:val="false"/>
          <w:i w:val="false"/>
          <w:color w:val="000000"/>
          <w:sz w:val="32"/>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br/>
      </w:r>
      <w:r>
        <w:rPr>
          <w:rFonts w:ascii="Times New Roman" w:hAnsi="Times New Roman"/>
          <w:b w:val="false"/>
          <w:i w:val="false"/>
          <w:color w:val="000000"/>
          <w:sz w:val="32"/>
        </w:rPr>
        <w:t>Taxpayers are subject to the same standards as tax practitioners (substantial authority without disclosure; reasonable basis with disclosure). Thus, Houston's client will not need to disclose the position on its tax return to avoid penalty.</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