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oter+xml" PartName="/word/footer.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1.0 (Apache licensed) using REFERENCE JAXB in Amazon.com Inc. Java 11.0.16.1 on Linux -->
    <w:sectPr>
      <w:footerReference w:type="default" r:id="rId3"/>
      <w:type w:val="continuous"/>
      <w:pgMar w:top="1440" w:right="1440" w:bottom="1440" w:left="1440"/>
      <w:cols w:space="720"/>
    </w:sectPr>
    <w:p>
      <w:pPr>
        <w:keepNext w:val="true"/>
        <w:keepLines w:val="true"/>
        <w:spacing w:after="0"/>
        <w:jc w:val="left"/>
      </w:pPr>
      <w:r>
        <w:rPr>
          <w:rFonts w:ascii="Times New Roman"/>
          <w:sz w:val="28"/>
        </w:rPr>
        <w:t>Student name:__________</w:t>
      </w:r>
    </w:p>
    <w:p>
      <w:pPr>
        <w:keepNext w:val="true"/>
        <w:keepLines w:val="true"/>
        <w:spacing w:after="0"/>
        <w:jc w:val="left"/>
      </w:pPr>
      <w:r>
        <w:rPr>
          <w:rFonts w:ascii="Times New Roman"/>
          <w:b/>
          <w:sz w:val="24"/>
        </w:rPr>
        <w:t>TRUE/FALSE - Write 'T' if the statement is true and 'F' if the statement is false.</w:t>
      </w:r>
    </w:p>
    <w:p>
      <w:pPr>
        <w:pStyle w:val="ListParagraph"/>
        <w:keepNext w:val="true"/>
        <w:keepLines w:val="true"/>
        <w:numPr>
          <w:ilvl w:val="0"/>
          <w:numId w:val="2"/>
        </w:numPr>
        <w:spacing w:after="0"/>
        <w:jc w:val="left"/>
      </w:pPr>
      <w:r>
        <w:rPr>
          <w:rFonts w:ascii="Times New Roman"/>
          <w:b w:val="false"/>
          <w:i w:val="false"/>
          <w:color w:val="000000"/>
          <w:sz w:val="24"/>
        </w:rPr>
        <w:t>A tax meets the standard of sufficiency if it is easy for people to pay the tax.</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The federal government is not required to pay interest on the national debt.</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A static forecast of the revenue effect of a tax rate change assumes that the tax base does not change.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A dynamic forecast of the revenue effect of a tax rate change assumes that the tax base does not change.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The federal Social Security tax burden on employees has not increased since 1990 because the tax rate has not increased since that year.</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If State H increases its sales tax rate by 1%, its sales tax revenue must also increase by 1%.</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The city of Berne recently enacted a 10% tax on the price of a subway ticket. Consequently, Mrs. Lane now walks to work instead of taking the subway. This behavior illustrates the substitution effect of a tax increase.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Jurisdiction P recently increased its income tax rate. A taxpayer who reacts to the increase by working harder to earn more income is demonstrating the income effect of the rate increase.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According to supply-side economic theory, a decrease in tax rates for high-income individuals could actually cause an increase in tax revenue.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Supply-side economic theory holds that people who benefit from a tax rate reduction will spend their tax windfall on consumption goods.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State use taxes are more convenient for individual consumers than state sales taxes.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The Internal Revenue Service's cost of collecting $100 of tax revenue is about $3.</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A convenient tax has low compliance costs for taxpayers and low collection and enforcement costs for the government.</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According to the classical concept of efficiency, an efficient tax should be neutral in its effect on free market allocations of economic resources.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According to the Keynesian concept of efficiency, an efficient tax should be neutral in its effect on free market allocations of economic resources.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A tax meets the standard of efficiency if it generates enough revenue to pay for the public goods and services provided by the government.</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A provision in the tax law designed to encourage a specific economic behavior is a tax preference.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A tax should result in either horizontal or vertical equity across taxpayers.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Changes in the tax law intended to make the measurement of taxable income more precise usually make the tax law less complex.</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Vertical equity focuses on measurement of the tax base, and horizontal equity focuses on the tax rate structure.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Tax systems with regressive rate structures result in a proportionally heavier tax burden on persons with smaller tax bases.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A progressive rate structure and a proportionate rate structure both result in vertical equity across taxpayers.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The U.S. individual income tax has always used a progressive rate structure.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The declining marginal utility of income across individuals can be measured empirically.</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Tax liability divided by taxable income equals marginal tax rate.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If a tax has a proportionate rate structure, a taxpayer's marginal rate and average rate are equal.</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If a tax has a progressive rate structure, a taxpayer's average rate is greater than her marginal rate.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The theory of distributive justice is a rationale for a progressive income tax system.</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Individuals who believe that a tax system is fair are less likely to cheat on their taxes than individuals who believe that the system is unfair.</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Many taxpayers believe the income tax system is unfair because it is so complicated.</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p>
    <w:p>
      <w:pPr>
        <w:keepNext w:val="true"/>
        <w:keepLines w:val="true"/>
        <w:spacing w:after="0"/>
        <w:jc w:val="left"/>
      </w:pPr>
      <w:r>
        <w:rPr>
          <w:rFonts w:ascii="Times New Roman"/>
          <w:b/>
          <w:sz w:val="24"/>
        </w:rPr>
        <w:t>MULTIPLE CHOICE - Choose the one alternative that best completes the statement or answers the question.</w:t>
      </w:r>
    </w:p>
    <w:p>
      <w:pPr>
        <w:pStyle w:val="ListParagraph"/>
        <w:keepNext w:val="true"/>
        <w:keepLines w:val="true"/>
        <w:numPr>
          <w:ilvl w:val="0"/>
          <w:numId w:val="2"/>
        </w:numPr>
        <w:spacing w:after="0"/>
        <w:jc w:val="left"/>
      </w:pPr>
      <w:r>
        <w:rPr>
          <w:rFonts w:ascii="Times New Roman"/>
          <w:b w:val="false"/>
          <w:i w:val="false"/>
          <w:color w:val="000000"/>
          <w:sz w:val="24"/>
        </w:rPr>
        <w:t>Government officials of Country Z estimate that next year's public programs will cost $19 million but that tax revenues will be only $15 million. The officials could avoid a deficit next year by adopting which of the following fiscal strategies?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Reduce the cost of public programs by $4 million.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Increase taxes by $4 million.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Borrow $4 million by issuing new government bonds.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All of these strategies will avoid a deficit.</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Government officials of Country Z estimate that next year's public programs will cost $19 million but that tax revenues will be only $15 million. Which of the following statements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Country Z's tax system is sufficient.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Country Z's government is engaging in deficit spending.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Country Z must borrow $4 million to pay for its public programs, its national debt will increase by $4 million.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Country Z's government could balance its budget by eliminating a program that costs $4 million.</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Government J decides that it must increase its tax revenue. Which of the strategies could result in more revenue?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Increase the rate of an existing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Expand the base of an existing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Enact a tax on a new base.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All of these strategies could result in more revenue for Government J.</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The government of Nation C operated at a $32 billion deficit this year. The deficit suggests that Nation C's tax system 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Inefficient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Insufficient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Unfair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Inconvenient</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The city of Belleview operated at an $865,000 surplus this year. The surplus suggests that the municipal tax system 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Fair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Efficient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Sufficient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Convenient</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concerning the federal Social Security tax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tax burden increases annually because the rate generally increases annually.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tax burden increases annually because the base generally increases annually.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Both the rate and the base generally increase annually.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Social Security tax burden has not increased since 1990.</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A static forecast of the incremental revenue from a tax rate increase presumes that: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tax base will not change because of the rate increase.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tax base will increase by the same proportion as the rate increase.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tax base will decrease by the same proportion as the rate increase.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tax rate and the tax base are correlated.</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A dynamic forecast of the incremental revenue from a tax rate increase presumes that: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Taxpayers will not change their behavior because of the rate increase.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tax base will increase by the same proportion as the rate increase.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tax base will decrease by the same proportion as the rate increase.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tax rate and the tax base are correlated.</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Jurisdiction F levies a 10% excise tax on the purchase of golf carts. The annual revenue from this tax averages $800,000 (10% * $8 million average annual golf cart purchases). Jurisdiction F is considering raising the tax rate to 12%.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rate increase will increase revenue by $160,000.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Based on a dynamic forecast, the rate increase will increase revenue by $160,000.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Based on a static forecast, the rate increase will increase revenue by $160,000.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these choices are true.</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Last year, Government G levied a 35% tax on individual income, and Mr. Slate paid $35,000 tax on $100,000 income. This year, the government increased the tax rate to 40%. Which of the following statements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Based on a static forecast, government G should collect $5,000 additional tax from Mr. Slate this year.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Mr. Slate took a second job to maintain his after-tax disposable income, this behavior illustrates a substitution effect of the rate increase.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Mr. Slate took a second job to maintain his after-tax disposable income, government G should collect more than $5,000 additional tax this year.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Mr. Slate sold an income-generating investment and used the money for personal consumption, this behavior illustrates a substitution effect of the rate increase.</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about the substitution effect of an income tax rate increase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substitution effect is theoretically stronger for high-income taxpayers than for low-income taxpayers.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substitution effect is theoretically stronger for a family's secondary wage earner than for the family's primary wage earner.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substitution effect is theoretically stronger for self-employed individuals who control their own time than for employees whose work schedules are controlled by their employers.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these choices are false.</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about the income effect of an income tax rate increase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income effect is theoretically stronger for low-income taxpayers than for high-income taxpayers.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income effect is theoretically stronger for a family's secondary wage earner than for the family's primary wage earner.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income effect motivates individuals to find ways to increase their before-tax income.</w:t>
      </w:r>
      <w:r>
        <w:rPr>
          <w:rFonts w:ascii="Times New Roman"/>
          <w:sz w:val="24"/>
        </w:rPr>
      </w:r>
    </w:p>
    <w:p>
      <w:pPr>
        <w:pStyle w:val="ListParagraph"/>
        <w:keepNext w:val="true"/>
        <w:keepLines w:val="true"/>
        <w:numPr>
          <w:ilvl w:val="7"/>
          <w:numId w:val="2"/>
        </w:numPr>
        <w:spacing w:after="0"/>
        <w:jc w:val="left"/>
      </w:pPr>
      <w:r>
        <w:rPr>
          <w:rFonts w:ascii="Times New Roman"/>
          <w:sz w:val="24"/>
        </w:rPr>
        <w:t>Both the income effect is theoretically stronger for low-income taxpayers than for high-income taxpayers and the income effect motivates individuals to find ways to increase their before-tax income are true.</w:t>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about the income and substitution effects of an income tax rate increase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income and substitution effects are contradictory behavioral reactions.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From the government's perspective, the substitution effect is more desirable than the income effect.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Faith in the income effect is the foundation for supply-side economic theory.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Dynamic forecasts of incremental tax revenues must consider the potential income effect but not the potential substitution effect of a rate increase.</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Supply-side economic theory: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Predicts that a decrease in the highest income tax rates will cause an increase in government revenues.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Is inconsistent with the substitution effect.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Was a clear failure following the Reagan administration tax cuts of the 1980s.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Predicts that taxpayers will save their tax windfall from a rate cut rather than spend or investment the windfall.</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Which of the following describes a tax that meets the standard of convenience?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tax that the government can administer without excessive cost.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tax that is easy for taxpayers to compute and pay.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tax that minimizes the opportunity for noncompliance.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All of these describe a convenient tax.</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Which of the following taxes is most convenient for individuals (purchasers) to pay?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Sales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Use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Federal income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Real property tax</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regarding a convenient tax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From the government's viewpoint, a good tax should be convenient to administer.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From the taxpayer's viewpoint, a good tax should be convenient to pay.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convenient tax should have a method of collection that offers maximum opportunity for noncompliance.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convenient tax should permit taxpayers to compute their tax with reasonable certainty without incurring undue costs.</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Which of the following statements does not describe the classical standard of tax efficiency?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efficient tax is a neutral factor in a free market economy.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efficient tax does not change taxpayer behavior.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efficient tax encourages full employment.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efficient tax favors a laissez-faire economy policy.</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The statement that "an old tax is a good tax" means that: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Changes in the tax law create uncertainty in the business environment.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Changes in the tax law disrupt traditional planning strategies.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Changes in the tax law increase the compliance burden on businesses.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All of these choices are correct.</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The city of Hartwell spends about $3 million annually on snow removal. The city is considering amending its real property tax law to allow homeowners to offset the cost of private snow removal against their annual property tax liability. This amendment would affect the: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Fairness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Efficiency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Sufficiency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Convenience of the tax</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Which of the following statements does not describe the Keynesian standard of tax efficiency?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efficient tax encourages economic growth.</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efficient tax encourages full employment.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efficient tax encourages price-level stability.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All of these describe the Keynesian standard of tax efficiency.</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Government L levies a 4% excise tax on restaurant meals. It is considering reducing the rate to 2% on meals served in restaurants that ban cigarette and cigar smoking and to increase the rate to 5% in restaurants that allow smoking.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rate change would improve the neutrality of the excise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rate change would improve the convenience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rate change is intended to affect social behavior.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Both the rate change would improve the convenience of the tax and the rate change is intended to affect social behavior are true.</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Assume the state of California plans to amend its personal income tax laws to allow parents to reduce their tax by the cost of infant car seats.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creates a tax preference for parents who purchase infant car seats.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change social behavior.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increases the neutrality of the tax law.</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Both the amendment creates a tax preference for parents who purchase infant car seats and is also intended to change social behavior are true.</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concerning tax preferences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Tax preferences increase the complexity of the law.</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Tax preferences raise additional revenue for the government.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Tax preferences are government subsidies for targeted taxpayer activities.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Tax preferences do not improve the accurate measurement of the tax base.</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concerning tax preferences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annual revenue loss from federal tax preferences is quantified in the Tax Expenditures Budget.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Tax preferences increase the fairness of the tax law.</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Tax preferences simplify the tax law.</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Tax preferences make the tax law more neutral across taxpayers.</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about horizontal equity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Horizontal equity focuses on a rational and impartial measurement of the tax base.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Horizontal equity focuses on the measurement of taxpayers' ability to pay.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persons with equal ability to pay a tax owe an equal amount of tax, the tax is horizontally equitable.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these choices are false.</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The federal income tax law allows individuals whose property is destroyed by a natural disaster such as a fire or hurricane to reduce their taxable income by the amount of their financial loss. This rule is intended to improve the: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Convenience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Efficiency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Horizontal equity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Vertical equity of the tax</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The sales tax laws of many states exempt the purchase of groceries and prescription drugs from tax. Such exemptions are intended to improve the: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Convenience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Equity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Sufficiency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Neutrality of the tax</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about vertical equity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Vertical equity focuses on a fair rate structure instead of a fair measurement of the tax base.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persons with greater ability to pay owe more tax than persons with lesser ability to pay, the tax is vertically equitable.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tax with a single percentage rate is not vertically equitable.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these choices are false.</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Jurisdiction M imposes an individual income tax based on the following schedule.</w:t>
      </w:r>
      <w:r>
        <w:rPr>
          <w:rFonts w:ascii="Times New Roman"/>
          <w:sz w:val="24"/>
        </w:rPr>
      </w:r>
    </w:p>
    <w:tbl>
      <w:tblPr>
        <w:jc w:val="left"/>
        <w:tblInd w:w="360" w:type="dxa"/>
        <w:tblLayout w:type="autofit"/>
      </w:tblPr>
      <w:tr>
        <w:trPr>
          <w:cantSplit w:val="true"/>
        </w:trPr>
        <w:tc>
          <w:tcPr>
            <w:tcW w:w="242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Rate</w:t>
            </w:r>
          </w:p>
        </w:tc>
        <w:tc>
          <w:tcPr>
            <w:tcW w:w="478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Income bracket</w:t>
            </w:r>
          </w:p>
        </w:tc>
      </w:tr>
      <w:tr>
        <w:trPr>
          <w:cantSplit w:val="true"/>
        </w:trPr>
        <w:tc>
          <w:tcPr>
            <w:tcW w:w="242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5%</w:t>
            </w:r>
          </w:p>
        </w:tc>
        <w:tc>
          <w:tcPr>
            <w:tcW w:w="4780" w:type="dxa"/>
            <w:tcBorders/>
            <w:tcMar>
              <w:top w:w="15" w:type="dxa"/>
              <w:left w:w="15" w:type="dxa"/>
              <w:bottom w:w="15" w:type="dxa"/>
              <w:right w:w="450" w:type="dxa"/>
            </w:tcMar>
            <w:vAlign w:val="top"/>
          </w:tcPr>
          <w:p>
            <w:pPr>
              <w:keepNext w:val="true"/>
              <w:keepLines w:val="true"/>
              <w:spacing w:after="0"/>
              <w:ind w:left="0"/>
              <w:jc w:val="right"/>
            </w:pPr>
            <w:r>
              <w:rPr>
                <w:rFonts w:ascii="Courier New" w:hAnsi="Courier New"/>
                <w:b w:val="false"/>
                <w:i w:val="false"/>
                <w:color w:val="000000"/>
                <w:sz w:val="22"/>
              </w:rPr>
              <w:t>$-0- to $50,000</w:t>
            </w:r>
          </w:p>
        </w:tc>
      </w:tr>
      <w:tr>
        <w:trPr>
          <w:cantSplit w:val="true"/>
        </w:trPr>
        <w:tc>
          <w:tcPr>
            <w:tcW w:w="242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+ 8%</w:t>
            </w:r>
          </w:p>
        </w:tc>
        <w:tc>
          <w:tcPr>
            <w:tcW w:w="4780" w:type="dxa"/>
            <w:tcBorders/>
            <w:tcMar>
              <w:top w:w="15" w:type="dxa"/>
              <w:left w:w="15" w:type="dxa"/>
              <w:bottom w:w="15" w:type="dxa"/>
              <w:right w:w="450" w:type="dxa"/>
            </w:tcMar>
            <w:vAlign w:val="top"/>
          </w:tcPr>
          <w:p>
            <w:pPr>
              <w:keepNext w:val="true"/>
              <w:keepLines w:val="true"/>
              <w:spacing w:after="0"/>
              <w:ind w:left="0"/>
              <w:jc w:val="right"/>
            </w:pPr>
            <w:r>
              <w:rPr>
                <w:rFonts w:ascii="Courier New" w:hAnsi="Courier New"/>
                <w:b w:val="false"/>
                <w:i w:val="false"/>
                <w:color w:val="000000"/>
                <w:sz w:val="22"/>
              </w:rPr>
              <w:t>$50,001 to $200,000</w:t>
            </w:r>
          </w:p>
        </w:tc>
      </w:tr>
      <w:tr>
        <w:trPr>
          <w:cantSplit w:val="true"/>
        </w:trPr>
        <w:tc>
          <w:tcPr>
            <w:tcW w:w="242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+ 12%</w:t>
            </w:r>
          </w:p>
        </w:tc>
        <w:tc>
          <w:tcPr>
            <w:tcW w:w="4780" w:type="dxa"/>
            <w:tcBorders/>
            <w:tcMar>
              <w:top w:w="15" w:type="dxa"/>
              <w:left w:w="15" w:type="dxa"/>
              <w:bottom w:w="15" w:type="dxa"/>
              <w:right w:w="450" w:type="dxa"/>
            </w:tcMar>
            <w:vAlign w:val="top"/>
          </w:tcPr>
          <w:p>
            <w:pPr>
              <w:keepNext w:val="true"/>
              <w:keepLines w:val="true"/>
              <w:spacing w:after="0"/>
              <w:ind w:left="0"/>
              <w:jc w:val="right"/>
            </w:pPr>
            <w:r>
              <w:rPr>
                <w:rFonts w:ascii="Courier New" w:hAnsi="Courier New"/>
                <w:b w:val="false"/>
                <w:i w:val="false"/>
                <w:color w:val="000000"/>
                <w:sz w:val="22"/>
              </w:rPr>
              <w:t>$200,001 and above</w:t>
            </w:r>
          </w:p>
        </w:tc>
      </w:tr>
    </w:tbl>
    <w:p>
      <w:pPr>
        <w:keepNext w:val="true"/>
        <w:keepLines w:val="true"/>
        <w:spacing w:after="0"/>
        <w:ind w:left="360"/>
        <w:jc w:val="left"/>
      </w:pPr>
      <w:r>
        <w:rPr>
          <w:rFonts w:ascii="Times New Roman"/>
          <w:b w:val="false"/>
          <w:i w:val="false"/>
          <w:color w:val="000000"/>
          <w:sz w:val="24"/>
        </w:rPr>
        <w:t xml:space="preserve">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schedule provides no information as to whether Jurisdiction M's tax is horizontally equitable.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Jurisdiction M's tax is vertically equitable.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Jurisdiction M's tax is vertically equitable only for individuals with $50,000 or less taxable income.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Both "The schedule provides no information as to whether Jurisdiction M's tax is horizontally equitable" and "Jurisdiction M's tax is vertically equitable" are true.</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about a regressive tax rate structure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regressive rate structure cannot result in vertical equity.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Regressive rates decrease as the tax base increases.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regressive rate structure places a proportionally heavier tax burden on taxpayers with smaller tax bases than persons with greater tax bases.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these choices are false.</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Vervet County levies a real property tax based on the following schedule.</w:t>
      </w:r>
      <w:r>
        <w:rPr>
          <w:rFonts w:ascii="Times New Roman"/>
          <w:sz w:val="24"/>
        </w:rPr>
      </w:r>
    </w:p>
    <w:tbl>
      <w:tblPr>
        <w:jc w:val="left"/>
        <w:tblInd w:w="360" w:type="dxa"/>
        <w:tblLayout w:type="autofit"/>
      </w:tblPr>
      <w:tr>
        <w:trPr>
          <w:trHeight w:val="60" w:hRule="atLeast"/>
          <w:cantSplit w:val="true"/>
        </w:trPr>
        <w:tc>
          <w:tcPr>
            <w:tcW w:w="2233" w:type="dxa"/>
            <w:tcBorders/>
            <w:tcMar>
              <w:top w:w="30" w:type="dxa"/>
              <w:left w:w="30" w:type="dxa"/>
              <w:bottom w:w="30" w:type="dxa"/>
              <w:right w:w="30" w:type="dxa"/>
            </w:tcMar>
            <w:vAlign w:val="top"/>
          </w:tcPr>
          <w:p>
            <w:pPr>
              <w:keepNext w:val="true"/>
              <w:keepLines w:val="true"/>
              <w:spacing w:after="0"/>
              <w:ind w:left="0"/>
              <w:jc w:val="center"/>
            </w:pPr>
            <w:r>
              <w:rPr>
                <w:rFonts w:ascii="Courier New" w:hAnsi="Courier New"/>
                <w:b/>
                <w:i w:val="false"/>
                <w:color w:val="000000"/>
                <w:sz w:val="22"/>
              </w:rPr>
              <w:t>Rate</w:t>
            </w:r>
          </w:p>
        </w:tc>
        <w:tc>
          <w:tcPr>
            <w:tcW w:w="5167" w:type="dxa"/>
            <w:tcBorders/>
            <w:tcMar>
              <w:top w:w="30" w:type="dxa"/>
              <w:left w:w="30" w:type="dxa"/>
              <w:bottom w:w="30" w:type="dxa"/>
              <w:right w:w="30" w:type="dxa"/>
            </w:tcMar>
            <w:vAlign w:val="top"/>
          </w:tcPr>
          <w:p>
            <w:pPr>
              <w:keepNext w:val="true"/>
              <w:keepLines w:val="true"/>
              <w:spacing w:after="0"/>
              <w:ind w:left="0"/>
              <w:jc w:val="center"/>
            </w:pPr>
            <w:r>
              <w:rPr>
                <w:rFonts w:ascii="Courier New" w:hAnsi="Courier New"/>
                <w:b/>
                <w:i w:val="false"/>
                <w:color w:val="000000"/>
                <w:sz w:val="22"/>
              </w:rPr>
              <w:t>Assessed value</w:t>
            </w:r>
          </w:p>
        </w:tc>
      </w:tr>
      <w:tr>
        <w:trPr>
          <w:trHeight w:val="60" w:hRule="atLeast"/>
          <w:cantSplit w:val="true"/>
        </w:trPr>
        <w:tc>
          <w:tcPr>
            <w:tcW w:w="2233" w:type="dxa"/>
            <w:tcBorders/>
            <w:tcMar>
              <w:top w:w="30" w:type="dxa"/>
              <w:left w:w="30" w:type="dxa"/>
              <w:bottom w:w="30" w:type="dxa"/>
              <w:right w:w="525" w:type="dxa"/>
            </w:tcMar>
            <w:vAlign w:val="top"/>
          </w:tcPr>
          <w:p>
            <w:pPr>
              <w:keepNext w:val="true"/>
              <w:keepLines w:val="true"/>
              <w:spacing w:after="0"/>
              <w:ind w:left="0"/>
              <w:jc w:val="right"/>
            </w:pPr>
            <w:r>
              <w:rPr>
                <w:rFonts w:ascii="Courier New" w:hAnsi="Courier New"/>
                <w:b/>
                <w:i w:val="false"/>
                <w:color w:val="000000"/>
                <w:sz w:val="22"/>
              </w:rPr>
              <w:t>3%</w:t>
            </w:r>
          </w:p>
        </w:tc>
        <w:tc>
          <w:tcPr>
            <w:tcW w:w="5167" w:type="dxa"/>
            <w:tcBorders/>
            <w:tcMar>
              <w:top w:w="30" w:type="dxa"/>
              <w:left w:w="30" w:type="dxa"/>
              <w:bottom w:w="30" w:type="dxa"/>
              <w:right w:w="750" w:type="dxa"/>
            </w:tcMar>
            <w:vAlign w:val="top"/>
          </w:tcPr>
          <w:p>
            <w:pPr>
              <w:keepNext w:val="true"/>
              <w:keepLines w:val="true"/>
              <w:spacing w:after="0"/>
              <w:ind w:left="0"/>
              <w:jc w:val="right"/>
            </w:pPr>
            <w:r>
              <w:rPr>
                <w:rFonts w:ascii="Courier New" w:hAnsi="Courier New"/>
                <w:b w:val="false"/>
                <w:i w:val="false"/>
                <w:color w:val="000000"/>
                <w:sz w:val="22"/>
              </w:rPr>
              <w:t>$-0- to $250,000</w:t>
            </w:r>
          </w:p>
        </w:tc>
      </w:tr>
      <w:tr>
        <w:trPr>
          <w:trHeight w:val="60" w:hRule="atLeast"/>
          <w:cantSplit w:val="true"/>
        </w:trPr>
        <w:tc>
          <w:tcPr>
            <w:tcW w:w="2233" w:type="dxa"/>
            <w:tcBorders/>
            <w:tcMar>
              <w:top w:w="30" w:type="dxa"/>
              <w:left w:w="30" w:type="dxa"/>
              <w:bottom w:w="30" w:type="dxa"/>
              <w:right w:w="525" w:type="dxa"/>
            </w:tcMar>
            <w:vAlign w:val="top"/>
          </w:tcPr>
          <w:p>
            <w:pPr>
              <w:keepNext w:val="true"/>
              <w:keepLines w:val="true"/>
              <w:spacing w:after="0"/>
              <w:ind w:left="0"/>
              <w:jc w:val="right"/>
            </w:pPr>
            <w:r>
              <w:rPr>
                <w:rFonts w:ascii="Courier New" w:hAnsi="Courier New"/>
                <w:b/>
                <w:i w:val="false"/>
                <w:color w:val="000000"/>
                <w:sz w:val="22"/>
              </w:rPr>
              <w:t>+ 1%</w:t>
            </w:r>
          </w:p>
        </w:tc>
        <w:tc>
          <w:tcPr>
            <w:tcW w:w="5167" w:type="dxa"/>
            <w:tcBorders/>
            <w:tcMar>
              <w:top w:w="30" w:type="dxa"/>
              <w:left w:w="30" w:type="dxa"/>
              <w:bottom w:w="30" w:type="dxa"/>
              <w:right w:w="750" w:type="dxa"/>
            </w:tcMar>
            <w:vAlign w:val="top"/>
          </w:tcPr>
          <w:p>
            <w:pPr>
              <w:keepNext w:val="true"/>
              <w:keepLines w:val="true"/>
              <w:spacing w:after="0"/>
              <w:ind w:left="0"/>
              <w:jc w:val="right"/>
            </w:pPr>
            <w:r>
              <w:rPr>
                <w:rFonts w:ascii="Courier New" w:hAnsi="Courier New"/>
                <w:b w:val="false"/>
                <w:i w:val="false"/>
                <w:color w:val="000000"/>
                <w:sz w:val="22"/>
              </w:rPr>
              <w:t>$250,001 and above</w:t>
            </w:r>
          </w:p>
        </w:tc>
      </w:tr>
    </w:tbl>
    <w:p>
      <w:pPr>
        <w:keepNext w:val="true"/>
        <w:keepLines w:val="true"/>
        <w:spacing w:after="0"/>
        <w:ind w:left="360"/>
        <w:jc w:val="left"/>
      </w:pPr>
      <w:r>
        <w:rPr>
          <w:rFonts w:ascii="Times New Roman"/>
          <w:b w:val="false"/>
          <w:i w:val="false"/>
          <w:color w:val="000000"/>
          <w:sz w:val="24"/>
        </w:rPr>
        <w:t>Which type of rate structure does this tax use?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Proportionate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Regressive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Progressive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Dual-bracket</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Vervet County levies a real property tax based on the following schedule.</w:t>
      </w:r>
      <w:r>
        <w:rPr>
          <w:rFonts w:ascii="Times New Roman"/>
          <w:sz w:val="24"/>
        </w:rPr>
      </w:r>
    </w:p>
    <w:tbl>
      <w:tblPr>
        <w:jc w:val="left"/>
        <w:tblInd w:w="360" w:type="dxa"/>
        <w:tblLayout w:type="autofit"/>
      </w:tblPr>
      <w:tr>
        <w:trPr>
          <w:trHeight w:val="60" w:hRule="atLeast"/>
          <w:cantSplit w:val="true"/>
        </w:trPr>
        <w:tc>
          <w:tcPr>
            <w:tcW w:w="2352" w:type="dxa"/>
            <w:tcBorders/>
            <w:tcMar>
              <w:top w:w="30" w:type="dxa"/>
              <w:left w:w="30" w:type="dxa"/>
              <w:bottom w:w="30" w:type="dxa"/>
              <w:right w:w="30" w:type="dxa"/>
            </w:tcMar>
            <w:vAlign w:val="top"/>
          </w:tcPr>
          <w:p>
            <w:pPr>
              <w:keepNext w:val="true"/>
              <w:keepLines w:val="true"/>
              <w:spacing w:after="0"/>
              <w:ind w:left="0"/>
              <w:jc w:val="center"/>
            </w:pPr>
            <w:r>
              <w:rPr>
                <w:rFonts w:ascii="Courier New" w:hAnsi="Courier New"/>
                <w:b/>
                <w:i w:val="false"/>
                <w:color w:val="000000"/>
                <w:sz w:val="22"/>
              </w:rPr>
              <w:t>Rate</w:t>
            </w:r>
          </w:p>
        </w:tc>
        <w:tc>
          <w:tcPr>
            <w:tcW w:w="5448" w:type="dxa"/>
            <w:tcBorders/>
            <w:tcMar>
              <w:top w:w="30" w:type="dxa"/>
              <w:left w:w="30" w:type="dxa"/>
              <w:bottom w:w="30" w:type="dxa"/>
              <w:right w:w="30" w:type="dxa"/>
            </w:tcMar>
            <w:vAlign w:val="top"/>
          </w:tcPr>
          <w:p>
            <w:pPr>
              <w:keepNext w:val="true"/>
              <w:keepLines w:val="true"/>
              <w:spacing w:after="0"/>
              <w:ind w:left="0"/>
              <w:jc w:val="center"/>
            </w:pPr>
            <w:r>
              <w:rPr>
                <w:rFonts w:ascii="Courier New" w:hAnsi="Courier New"/>
                <w:b/>
                <w:i w:val="false"/>
                <w:color w:val="000000"/>
                <w:sz w:val="22"/>
              </w:rPr>
              <w:t>Assessed value</w:t>
            </w:r>
          </w:p>
        </w:tc>
      </w:tr>
      <w:tr>
        <w:trPr>
          <w:trHeight w:val="60" w:hRule="atLeast"/>
          <w:cantSplit w:val="true"/>
        </w:trPr>
        <w:tc>
          <w:tcPr>
            <w:tcW w:w="2352" w:type="dxa"/>
            <w:tcBorders/>
            <w:tcMar>
              <w:top w:w="30" w:type="dxa"/>
              <w:left w:w="30" w:type="dxa"/>
              <w:bottom w:w="30" w:type="dxa"/>
              <w:right w:w="525" w:type="dxa"/>
            </w:tcMar>
            <w:vAlign w:val="top"/>
          </w:tcPr>
          <w:p>
            <w:pPr>
              <w:keepNext w:val="true"/>
              <w:keepLines w:val="true"/>
              <w:spacing w:after="0"/>
              <w:ind w:left="0"/>
              <w:jc w:val="right"/>
            </w:pPr>
            <w:r>
              <w:rPr>
                <w:rFonts w:ascii="Courier New" w:hAnsi="Courier New"/>
                <w:b/>
                <w:i w:val="false"/>
                <w:color w:val="000000"/>
                <w:sz w:val="22"/>
              </w:rPr>
              <w:t>3%</w:t>
            </w:r>
          </w:p>
        </w:tc>
        <w:tc>
          <w:tcPr>
            <w:tcW w:w="5448" w:type="dxa"/>
            <w:tcBorders/>
            <w:tcMar>
              <w:top w:w="30" w:type="dxa"/>
              <w:left w:w="30" w:type="dxa"/>
              <w:bottom w:w="30" w:type="dxa"/>
              <w:right w:w="750" w:type="dxa"/>
            </w:tcMar>
            <w:vAlign w:val="top"/>
          </w:tcPr>
          <w:p>
            <w:pPr>
              <w:keepNext w:val="true"/>
              <w:keepLines w:val="true"/>
              <w:spacing w:after="0"/>
              <w:ind w:left="0"/>
              <w:jc w:val="right"/>
            </w:pPr>
            <w:r>
              <w:rPr>
                <w:rFonts w:ascii="Courier New" w:hAnsi="Courier New"/>
                <w:b w:val="false"/>
                <w:i w:val="false"/>
                <w:color w:val="000000"/>
                <w:sz w:val="22"/>
              </w:rPr>
              <w:t>$-0- to $250,000</w:t>
            </w:r>
          </w:p>
        </w:tc>
      </w:tr>
      <w:tr>
        <w:trPr>
          <w:trHeight w:val="60" w:hRule="atLeast"/>
          <w:cantSplit w:val="true"/>
        </w:trPr>
        <w:tc>
          <w:tcPr>
            <w:tcW w:w="2352" w:type="dxa"/>
            <w:tcBorders/>
            <w:tcMar>
              <w:top w:w="30" w:type="dxa"/>
              <w:left w:w="30" w:type="dxa"/>
              <w:bottom w:w="30" w:type="dxa"/>
              <w:right w:w="525" w:type="dxa"/>
            </w:tcMar>
            <w:vAlign w:val="top"/>
          </w:tcPr>
          <w:p>
            <w:pPr>
              <w:keepNext w:val="true"/>
              <w:keepLines w:val="true"/>
              <w:spacing w:after="0"/>
              <w:ind w:left="0"/>
              <w:jc w:val="right"/>
            </w:pPr>
            <w:r>
              <w:rPr>
                <w:rFonts w:ascii="Courier New" w:hAnsi="Courier New"/>
                <w:b/>
                <w:i w:val="false"/>
                <w:color w:val="000000"/>
                <w:sz w:val="22"/>
              </w:rPr>
              <w:t>+ 1%</w:t>
            </w:r>
          </w:p>
        </w:tc>
        <w:tc>
          <w:tcPr>
            <w:tcW w:w="5448" w:type="dxa"/>
            <w:tcBorders/>
            <w:tcMar>
              <w:top w:w="30" w:type="dxa"/>
              <w:left w:w="30" w:type="dxa"/>
              <w:bottom w:w="30" w:type="dxa"/>
              <w:right w:w="750" w:type="dxa"/>
            </w:tcMar>
            <w:vAlign w:val="top"/>
          </w:tcPr>
          <w:p>
            <w:pPr>
              <w:keepNext w:val="true"/>
              <w:keepLines w:val="true"/>
              <w:spacing w:after="0"/>
              <w:ind w:left="0"/>
              <w:jc w:val="right"/>
            </w:pPr>
            <w:r>
              <w:rPr>
                <w:rFonts w:ascii="Courier New" w:hAnsi="Courier New"/>
                <w:b w:val="false"/>
                <w:i w:val="false"/>
                <w:color w:val="000000"/>
                <w:sz w:val="22"/>
              </w:rPr>
              <w:t>$250,001 and above</w:t>
            </w:r>
          </w:p>
        </w:tc>
      </w:tr>
    </w:tbl>
    <w:p>
      <w:pPr>
        <w:keepNext w:val="true"/>
        <w:keepLines w:val="true"/>
        <w:spacing w:after="0"/>
        <w:ind w:left="360"/>
        <w:jc w:val="left"/>
      </w:pPr>
      <w:r>
        <w:rPr>
          <w:rFonts w:ascii="Times New Roman"/>
          <w:b w:val="false"/>
          <w:i w:val="false"/>
          <w:color w:val="000000"/>
          <w:sz w:val="24"/>
        </w:rPr>
        <w:t>Bilex Incorporated owns real property valued at $629,800. Compute Bilex's tax on this property.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$13,798</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$7,500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$6,298</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choices are correct.</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Vervet County levies a real property tax based on the following schedule.</w:t>
      </w:r>
      <w:r>
        <w:rPr>
          <w:rFonts w:ascii="Times New Roman"/>
          <w:sz w:val="24"/>
        </w:rPr>
      </w:r>
    </w:p>
    <w:tbl>
      <w:tblPr>
        <w:jc w:val="left"/>
        <w:tblInd w:w="360" w:type="dxa"/>
        <w:tblLayout w:type="autofit"/>
      </w:tblPr>
      <w:tr>
        <w:trPr>
          <w:cantSplit w:val="true"/>
        </w:trPr>
        <w:tc>
          <w:tcPr>
            <w:tcW w:w="22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Rate</w:t>
            </w:r>
          </w:p>
        </w:tc>
        <w:tc>
          <w:tcPr>
            <w:tcW w:w="52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Assessed value</w:t>
            </w:r>
          </w:p>
        </w:tc>
      </w:tr>
      <w:tr>
        <w:trPr>
          <w:cantSplit w:val="true"/>
        </w:trPr>
        <w:tc>
          <w:tcPr>
            <w:tcW w:w="22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3%</w:t>
            </w:r>
          </w:p>
        </w:tc>
        <w:tc>
          <w:tcPr>
            <w:tcW w:w="52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$-0- to $250,000</w:t>
            </w:r>
          </w:p>
        </w:tc>
      </w:tr>
      <w:tr>
        <w:trPr>
          <w:cantSplit w:val="true"/>
        </w:trPr>
        <w:tc>
          <w:tcPr>
            <w:tcW w:w="22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+ 1%</w:t>
            </w:r>
          </w:p>
        </w:tc>
        <w:tc>
          <w:tcPr>
            <w:tcW w:w="52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$250,001 and above</w:t>
            </w:r>
          </w:p>
        </w:tc>
      </w:tr>
    </w:tbl>
    <w:p>
      <w:pPr>
        <w:keepNext w:val="true"/>
        <w:keepLines w:val="true"/>
        <w:spacing w:after="0"/>
        <w:ind w:left="360"/>
        <w:jc w:val="left"/>
      </w:pPr>
      <w:r>
        <w:rPr>
          <w:rFonts w:ascii="Times New Roman"/>
          <w:b w:val="false"/>
          <w:i w:val="false"/>
          <w:color w:val="000000"/>
          <w:sz w:val="24"/>
        </w:rPr>
        <w:t xml:space="preserve">Which of the following statements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Mr. Clem owns real property valued at $112,500, the average tax rate is 3%.</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Ms. Barker owns real property valued at $455,650, the average tax rate is 2.1%.</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Ms. Lumley owns real property valued at $750,000, the marginal tax rate is 1%.</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choices are false.</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about tax rate structures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Regressive rate structures are illegal in the United States.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tax with a graduated rate structure must be either regressive or progressive.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proportionate rate structure is the only structure resulting in vertical equity.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choices are true.</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Jurisdiction M imposes an individual income tax based on the following schedule.</w:t>
      </w:r>
      <w:r>
        <w:rPr>
          <w:rFonts w:ascii="Times New Roman"/>
          <w:sz w:val="24"/>
        </w:rPr>
      </w:r>
    </w:p>
    <w:tbl>
      <w:tblPr>
        <w:jc w:val="left"/>
        <w:tblInd w:w="360" w:type="dxa"/>
        <w:tblLayout w:type="autofit"/>
      </w:tblPr>
      <w:tr>
        <w:trPr>
          <w:cantSplit w:val="true"/>
        </w:trPr>
        <w:tc>
          <w:tcPr>
            <w:tcW w:w="22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Rate</w:t>
            </w:r>
          </w:p>
        </w:tc>
        <w:tc>
          <w:tcPr>
            <w:tcW w:w="52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Income bracket</w:t>
            </w:r>
          </w:p>
        </w:tc>
      </w:tr>
      <w:tr>
        <w:trPr>
          <w:cantSplit w:val="true"/>
        </w:trPr>
        <w:tc>
          <w:tcPr>
            <w:tcW w:w="22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5%</w:t>
            </w:r>
          </w:p>
        </w:tc>
        <w:tc>
          <w:tcPr>
            <w:tcW w:w="52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$-0- to $50,000</w:t>
            </w:r>
          </w:p>
        </w:tc>
      </w:tr>
      <w:tr>
        <w:trPr>
          <w:cantSplit w:val="true"/>
        </w:trPr>
        <w:tc>
          <w:tcPr>
            <w:tcW w:w="22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+ 8%</w:t>
            </w:r>
          </w:p>
        </w:tc>
        <w:tc>
          <w:tcPr>
            <w:tcW w:w="52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$50,001 to $200,000</w:t>
            </w:r>
          </w:p>
        </w:tc>
      </w:tr>
      <w:tr>
        <w:trPr>
          <w:cantSplit w:val="true"/>
        </w:trPr>
        <w:tc>
          <w:tcPr>
            <w:tcW w:w="22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+ 12%</w:t>
            </w:r>
          </w:p>
        </w:tc>
        <w:tc>
          <w:tcPr>
            <w:tcW w:w="52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$200,001 and above</w:t>
            </w:r>
          </w:p>
        </w:tc>
      </w:tr>
    </w:tbl>
    <w:p>
      <w:pPr>
        <w:keepNext w:val="true"/>
        <w:keepLines w:val="true"/>
        <w:spacing w:after="0"/>
        <w:ind w:left="360"/>
        <w:jc w:val="left"/>
      </w:pPr>
      <w:r>
        <w:rPr>
          <w:rFonts w:ascii="Times New Roman"/>
          <w:b w:val="false"/>
          <w:i w:val="false"/>
          <w:color w:val="000000"/>
          <w:sz w:val="24"/>
        </w:rPr>
        <w:t>Which type of rate structure does this tax use?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Proportionate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Regressive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Progressive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Multi-bracket</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about a progressive tax rate structure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Progressive rates increase as the tax base increases.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Progressive rates reflect the theory of the declining marginal utility of income.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federal income tax has always used a progressive rate structure.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Progressive rates result in greater vertical equity than a proportionate rate.</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about a proportionate income tax rate structure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theoretic justification for a proportionate rate is its superior potential for wealth redistribution.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Under a proportionate rate structure, the marginal rate equals the average rate.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Under a proportionate rate structure, the taxpayer with the least income pays the same percentage of income to the government as the taxpayer with the most income.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choices are false.</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concerning income tax rate structures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Under a progressive rate structure, the marginal rate and the average rate are equal.</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Under a regressive rate structure, the average rate for low-income individuals is more than the average rate for high-income individuals.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Under either a regressive, proportionate, or progressive rate structure, high-income taxpayers pay more dollars of tax than low-income individuals.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 theory, a progressive rate structure results in equal economic sacrifice across taxpayers.</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concerning a regressive tax rate structure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regressive tax rate structure is justified by the tax policy of distributive justice.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regressive rate structure is justified by the theory of the declining marginal utility of income.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Under a regressive rate structure, the average tax rate for high-income taxpayers is less than the marginal tax rate.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statements are true.</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Jurisdiction M imposes an individual income tax based on the following schedule.</w:t>
      </w:r>
      <w:r>
        <w:rPr>
          <w:rFonts w:ascii="Times New Roman"/>
          <w:sz w:val="24"/>
        </w:rPr>
      </w:r>
    </w:p>
    <w:tbl>
      <w:tblPr>
        <w:jc w:val="left"/>
        <w:tblInd w:w="360" w:type="dxa"/>
        <w:tblLayout w:type="autofit"/>
      </w:tblPr>
      <w:tr>
        <w:trPr>
          <w:cantSplit w:val="true"/>
        </w:trPr>
        <w:tc>
          <w:tcPr>
            <w:tcW w:w="2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Rate</w:t>
            </w:r>
          </w:p>
        </w:tc>
        <w:tc>
          <w:tcPr>
            <w:tcW w:w="5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Income bracket</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5%</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$-0- to $50,000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+ 8%</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$50,001 to $200,000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+ 12%</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$200,001 and above</w:t>
            </w:r>
          </w:p>
        </w:tc>
      </w:tr>
    </w:tbl>
    <w:p>
      <w:pPr>
        <w:keepNext w:val="true"/>
        <w:keepLines w:val="true"/>
        <w:spacing w:after="0"/>
        <w:ind w:left="360"/>
        <w:jc w:val="left"/>
      </w:pPr>
      <w:r>
        <w:rPr>
          <w:rFonts w:ascii="Times New Roman"/>
          <w:b w:val="false"/>
          <w:i w:val="false"/>
          <w:color w:val="000000"/>
          <w:sz w:val="24"/>
        </w:rPr>
        <w:t>Mr. Coen has $78,000 taxable income. Compute the tax on this income.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$4,740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$6,240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$8,740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choices are correct.</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Jurisdiction M imposes an individual income tax based on the following schedule.</w:t>
      </w:r>
      <w:r>
        <w:rPr>
          <w:rFonts w:ascii="Times New Roman"/>
          <w:sz w:val="24"/>
        </w:rPr>
      </w:r>
    </w:p>
    <w:tbl>
      <w:tblPr>
        <w:jc w:val="left"/>
        <w:tblInd w:w="360" w:type="dxa"/>
        <w:tblLayout w:type="autofit"/>
      </w:tblPr>
      <w:tr>
        <w:trPr>
          <w:cantSplit w:val="true"/>
        </w:trPr>
        <w:tc>
          <w:tcPr>
            <w:tcW w:w="2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Rate</w:t>
            </w:r>
          </w:p>
        </w:tc>
        <w:tc>
          <w:tcPr>
            <w:tcW w:w="5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Income bracket</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5%</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$-0- to $50,000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+ 8%</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$50,001 to $200,000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+ 12%</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$200,001 and above</w:t>
            </w:r>
          </w:p>
        </w:tc>
      </w:tr>
    </w:tbl>
    <w:p>
      <w:pPr>
        <w:keepNext w:val="true"/>
        <w:keepLines w:val="true"/>
        <w:spacing w:after="0"/>
        <w:ind w:left="360"/>
        <w:jc w:val="left"/>
      </w:pPr>
      <w:r>
        <w:rPr>
          <w:rFonts w:ascii="Times New Roman"/>
          <w:b w:val="false"/>
          <w:i w:val="false"/>
          <w:color w:val="000000"/>
          <w:sz w:val="24"/>
        </w:rPr>
        <w:t>Ms. Owen has $314,000 taxable income. Compute the tax on this income.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$29,680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$28,180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$37,680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choices are correct.</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Jurisdiction M imposes an individual income tax based on the following schedule.</w:t>
      </w:r>
      <w:r>
        <w:rPr>
          <w:rFonts w:ascii="Times New Roman"/>
          <w:sz w:val="24"/>
        </w:rPr>
      </w:r>
    </w:p>
    <w:tbl>
      <w:tblPr>
        <w:jc w:val="left"/>
        <w:tblInd w:w="360" w:type="dxa"/>
        <w:tblLayout w:type="autofit"/>
      </w:tblPr>
      <w:tr>
        <w:trPr>
          <w:cantSplit w:val="true"/>
        </w:trPr>
        <w:tc>
          <w:tcPr>
            <w:tcW w:w="2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Rate</w:t>
            </w:r>
          </w:p>
        </w:tc>
        <w:tc>
          <w:tcPr>
            <w:tcW w:w="5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Income bracket</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5%</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$-0- to $50,000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+ 8%</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$50,001 to $200,000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+ 12%</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$200,001 and above</w:t>
            </w:r>
          </w:p>
        </w:tc>
      </w:tr>
    </w:tbl>
    <w:p>
      <w:pPr>
        <w:keepNext w:val="true"/>
        <w:keepLines w:val="true"/>
        <w:spacing w:after="0"/>
        <w:ind w:left="360"/>
        <w:jc w:val="left"/>
      </w:pPr>
      <w:r>
        <w:rPr>
          <w:rFonts w:ascii="Times New Roman"/>
          <w:b w:val="false"/>
          <w:i w:val="false"/>
          <w:color w:val="000000"/>
          <w:sz w:val="24"/>
        </w:rPr>
        <w:t xml:space="preserve">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Mrs. Hall's taxable income is $227,000, the average tax rate is 12%.</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Mr. Poe's taxable income is $41,200, the marginal tax rate is 8%.</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Ms. Kaye's taxable income is $63,800, the marginal tax rate is 8%.</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choices are correct.</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Jurisdiction M imposes an individual income tax based on the following schedule.</w:t>
      </w:r>
      <w:r>
        <w:rPr>
          <w:rFonts w:ascii="Times New Roman"/>
          <w:sz w:val="24"/>
        </w:rPr>
      </w:r>
    </w:p>
    <w:tbl>
      <w:tblPr>
        <w:jc w:val="left"/>
        <w:tblInd w:w="360" w:type="dxa"/>
        <w:tblLayout w:type="autofit"/>
      </w:tblPr>
      <w:tr>
        <w:trPr>
          <w:cantSplit w:val="true"/>
        </w:trPr>
        <w:tc>
          <w:tcPr>
            <w:tcW w:w="2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Rate</w:t>
            </w:r>
          </w:p>
        </w:tc>
        <w:tc>
          <w:tcPr>
            <w:tcW w:w="5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Income bracket</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5%</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$-0- to $50,000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+ 8%</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$50,001 to $200,000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+ 12%</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$200,001 and above</w:t>
            </w:r>
          </w:p>
        </w:tc>
      </w:tr>
    </w:tbl>
    <w:p>
      <w:pPr>
        <w:keepNext w:val="true"/>
        <w:keepLines w:val="true"/>
        <w:spacing w:after="0"/>
        <w:ind w:left="360"/>
        <w:jc w:val="left"/>
      </w:pPr>
      <w:r>
        <w:rPr>
          <w:rFonts w:ascii="Times New Roman"/>
          <w:b w:val="false"/>
          <w:i w:val="false"/>
          <w:color w:val="000000"/>
          <w:sz w:val="24"/>
        </w:rPr>
        <w:t xml:space="preserve">Which of the following statements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Ms. Lui's taxable income is $33,400, the average tax rate is 5%.</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Mr. Bell's taxable income is $519,900, the marginal tax rate is 12%.</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If Ms. Vern's taxable income is $188,000, the average tax rate is 7.2%.</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choices are false.</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Congress originally enacted the federal estate and gift taxes to improve: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Distributive justice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Economic efficiency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Vertical equity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Horizontal equity</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sz w:val="24"/>
        </w:rPr>
        <w:t>Which of the following tax policies would increase the redistribution of wealth across society?</w:t>
      </w:r>
    </w:p>
    <w:p>
      <w:pPr>
        <w:pStyle w:val="ListParagraph"/>
        <w:keepNext w:val="true"/>
        <w:keepLines w:val="true"/>
        <w:numPr>
          <w:ilvl w:val="7"/>
          <w:numId w:val="2"/>
        </w:numPr>
        <w:spacing w:after="0"/>
        <w:jc w:val="left"/>
      </w:pPr>
      <w:r>
        <w:rPr>
          <w:rFonts w:ascii="Times New Roman"/>
          <w:b w:val="false"/>
          <w:i w:val="false"/>
          <w:color w:val="000000"/>
          <w:sz w:val="24"/>
        </w:rPr>
        <w:t>Repealing the federal estate and gift taxes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Increasing the highest marginal income tax rate by 10%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Replacing the progressive income tax rate structure with a flat rate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Replacing the income tax with a national sales tax</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Which of the following statements concerning the standard of fairness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People who believe that a tax is unfair are more likely to evade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People believe that the federal income tax is unfair because it contains preferences available only to wealthy individuals.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public perception that the federal income tax is unfair has decreased in recent decades.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 choices are false.</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Assume that Congress plans to amend the federal income tax to provide a deduction for the first $2,400 of residential rent paid by families with incomes below the federal poverty level.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efficiency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equity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simplicity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convenience of the tax.</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Assume that Congress plans to amend the federal individual income tax to eliminate the deductions for medical care, charitable contributions, and home mortgage interest.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will reduce the complexity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will increase the horizontal equity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will increase the neutrality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Both the amendment will reduce the complexity of the tax and will increase the neutrality of the tax.</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Assume that Congress plans to amend the federal income tax to provide a deduction for the cost of energy-efficient fluorescent light bulbs.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efficiency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equity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simplicity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convenience of the tax.</w:t>
      </w:r>
      <w:r>
        <w:rPr>
          <w:rFonts w:ascii="Times New Roman"/>
          <w:sz w:val="24"/>
        </w:rP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 xml:space="preserve">Congress recently amended the tax law to make it easier for individuals to file their income tax returns electronically (online).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efficiency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equity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simplicity of the tax.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amendment is intended to improve the convenience of the tax.</w:t>
      </w:r>
      <w:r>
        <w:rPr>
          <w:rFonts w:ascii="Times New Roman"/>
          <w:sz w:val="24"/>
        </w:rPr>
      </w:r>
    </w:p>
    <w:p>
      <w:pPr>
        <w:keepNext w:val="false"/>
        <w:keepLines w:val="true"/>
        <w:spacing w:after="0"/>
        <w:jc w:val="left"/>
      </w:pPr>
    </w:p>
    <w:p>
      <w:pPr>
        <w:keepNext w:val="true"/>
        <w:keepLines w:val="true"/>
        <w:spacing w:after="0"/>
        <w:jc w:val="left"/>
      </w:pPr>
      <w:r>
        <w:rPr>
          <w:rFonts w:ascii="Times New Roman"/>
          <w:b/>
          <w:sz w:val="24"/>
        </w:rPr>
        <w:t>ESSAY. Write your answer in the space provided or on a separate sheet of paper.</w:t>
      </w:r>
    </w:p>
    <w:p>
      <w:pPr>
        <w:pStyle w:val="ListParagraph"/>
        <w:keepNext w:val="true"/>
        <w:keepLines w:val="true"/>
        <w:numPr>
          <w:ilvl w:val="0"/>
          <w:numId w:val="2"/>
        </w:numPr>
        <w:spacing w:after="0"/>
        <w:jc w:val="left"/>
      </w:pPr>
      <w:r>
        <w:rPr>
          <w:rFonts w:ascii="Times New Roman"/>
          <w:b w:val="false"/>
          <w:i w:val="false"/>
          <w:color w:val="000000"/>
          <w:sz w:val="24"/>
        </w:rPr>
        <w:t>Mr. and Mrs. Boln earn $63,000 annual income and pay 20% in state and federal income tax. If tax rates increase so that the couple's annual rate increases to 25%, how much additional income must they earn to maintain their after-tax standard of living?</w:t>
      </w:r>
      <w:r>
        <w:rPr>
          <w:rFonts w:ascii="Times New Roman"/>
          <w:sz w:val="24"/>
        </w:rPr>
      </w:r>
    </w:p>
    <w:p>
      <w:pPr>
        <w:keepNext w:val="true"/>
        <w:keepLines w:val="true"/>
        <w:spacing w:after="0"/>
        <w:jc w:val="left"/>
      </w:pPr>
      <w:r>
        <w:rPr>
          <w:rFonts w:ascii="Times New Roman"/>
          <w:sz w:val="24"/>
        </w:rPr>
        <w:br/>
        <w:br/>
        <w:b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Mr. Ohno owns and operates a part-time service business that generates $80,000 annual taxable income. Assume that the federal tax rate on this income is 17%. Because of recent legislation, this rate will increase to 25% next year.</w:t>
      </w:r>
      <w:r>
        <w:rPr>
          <w:rFonts w:ascii="Times New Roman"/>
          <w:sz w:val="24"/>
        </w:rPr>
      </w:r>
    </w:p>
    <w:p>
      <w:pPr>
        <w:pStyle w:val="ListParagraph"/>
        <w:keepNext w:val="true"/>
        <w:keepLines w:val="true"/>
        <w:numPr>
          <w:ilvl w:val="5"/>
          <w:numId w:val="2"/>
        </w:numPr>
        <w:spacing w:after="0"/>
        <w:jc w:val="left"/>
      </w:pPr>
      <w:r>
        <w:rPr>
          <w:rFonts w:ascii="Times New Roman"/>
          <w:sz w:val="24"/>
        </w:rPr>
        <w:t>Based on a static forecast, how much additional revenue will the federal government collect from Mr. Ohno next year?</w:t>
      </w:r>
    </w:p>
    <w:p>
      <w:pPr>
        <w:pStyle w:val="ListParagraph"/>
        <w:keepNext w:val="true"/>
        <w:keepLines w:val="true"/>
        <w:numPr>
          <w:ilvl w:val="5"/>
          <w:numId w:val="2"/>
        </w:numPr>
        <w:spacing w:after="0"/>
        <w:jc w:val="left"/>
      </w:pPr>
      <w:r>
        <w:rPr>
          <w:rFonts w:ascii="Times New Roman"/>
          <w:sz w:val="24"/>
        </w:rPr>
        <w:t>How much additional revenue will the federal government collect if Mr. Ohno decides to work fewer hours and consequently earns only $50,000 next year?</w:t>
      </w:r>
    </w:p>
    <w:p>
      <w:pPr>
        <w:keepNext w:val="true"/>
        <w:keepLines w:val="true"/>
        <w:spacing w:after="0"/>
        <w:jc w:val="left"/>
      </w:pPr>
      <w:r>
        <w:rPr>
          <w:rFonts w:ascii="Times New Roman"/>
          <w:sz w:val="24"/>
        </w:rPr>
        <w:br/>
        <w:br/>
        <w:b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The City of Willford levies a flat 7% tax on individual income in excess of $55,000. Individuals who earn $55,000 or less pay no income tax.</w:t>
      </w:r>
      <w:r>
        <w:rPr>
          <w:rFonts w:ascii="Times New Roman"/>
          <w:sz w:val="24"/>
        </w:rPr>
      </w:r>
    </w:p>
    <w:p>
      <w:pPr>
        <w:pStyle w:val="ListParagraph"/>
        <w:keepNext w:val="true"/>
        <w:keepLines w:val="true"/>
        <w:numPr>
          <w:ilvl w:val="5"/>
          <w:numId w:val="2"/>
        </w:numPr>
        <w:spacing w:after="0"/>
        <w:jc w:val="left"/>
      </w:pPr>
      <w:r>
        <w:rPr>
          <w:rFonts w:ascii="Times New Roman"/>
          <w:sz w:val="24"/>
        </w:rPr>
        <w:t>Ms. Vello earned $127,200 income this year. Compute city income tax and determine average tax rate.</w:t>
      </w:r>
    </w:p>
    <w:p>
      <w:pPr>
        <w:pStyle w:val="ListParagraph"/>
        <w:keepNext w:val="true"/>
        <w:keepLines w:val="true"/>
        <w:numPr>
          <w:ilvl w:val="5"/>
          <w:numId w:val="2"/>
        </w:numPr>
        <w:spacing w:after="0"/>
        <w:jc w:val="left"/>
      </w:pPr>
      <w:r>
        <w:rPr>
          <w:rFonts w:ascii="Times New Roman"/>
          <w:sz w:val="24"/>
        </w:rPr>
        <w:t>Mr. Sui earned $68,900 income this year. Compute city income tax and determine his average tax rate.</w:t>
      </w:r>
    </w:p>
    <w:p>
      <w:pPr>
        <w:pStyle w:val="ListParagraph"/>
        <w:keepNext w:val="true"/>
        <w:keepLines w:val="true"/>
        <w:numPr>
          <w:ilvl w:val="5"/>
          <w:numId w:val="2"/>
        </w:numPr>
        <w:spacing w:after="0"/>
        <w:jc w:val="left"/>
      </w:pPr>
      <w:r>
        <w:rPr>
          <w:rFonts w:ascii="Times New Roman"/>
          <w:sz w:val="24"/>
        </w:rPr>
        <w:t>Does Willford have a proportionate, progressive, or regressive tax rate structure?</w:t>
      </w:r>
    </w:p>
    <w:p>
      <w:pPr>
        <w:keepNext w:val="true"/>
        <w:keepLines w:val="true"/>
        <w:spacing w:after="0"/>
        <w:jc w:val="left"/>
      </w:pPr>
      <w:r>
        <w:rPr>
          <w:rFonts w:ascii="Times New Roman"/>
          <w:sz w:val="24"/>
        </w:rPr>
        <w:br/>
        <w:br/>
        <w:br/>
      </w:r>
    </w:p>
    <w:p>
      <w:pPr>
        <w:keepNext w:val="false"/>
        <w:keepLines w:val="true"/>
        <w:spacing w:after="0"/>
        <w:jc w:val="left"/>
      </w:pPr>
    </w:p>
    <w:p>
      <w:pPr>
        <w:pStyle w:val="ListParagraph"/>
        <w:keepNext w:val="true"/>
        <w:keepLines w:val="true"/>
        <w:numPr>
          <w:ilvl w:val="0"/>
          <w:numId w:val="2"/>
        </w:numPr>
        <w:spacing w:after="0"/>
        <w:jc w:val="left"/>
      </w:pPr>
      <w:r>
        <w:rPr>
          <w:rFonts w:ascii="Times New Roman"/>
          <w:b w:val="false"/>
          <w:i w:val="false"/>
          <w:color w:val="000000"/>
          <w:sz w:val="24"/>
        </w:rPr>
        <w:t>The country of Valhalla levies an income tax with the following rate structure.</w:t>
      </w:r>
      <w:r>
        <w:rPr>
          <w:rFonts w:ascii="Times New Roman"/>
          <w:sz w:val="24"/>
        </w:rPr>
      </w:r>
    </w:p>
    <w:tbl>
      <w:tblPr>
        <w:jc w:val="left"/>
        <w:tblInd w:w="360" w:type="dxa"/>
        <w:tblLayout w:type="autofit"/>
      </w:tblPr>
      <w:tr>
        <w:trPr>
          <w:cantSplit w:val="true"/>
        </w:trPr>
        <w:tc>
          <w:tcPr>
            <w:tcW w:w="2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Rate</w:t>
            </w:r>
          </w:p>
        </w:tc>
        <w:tc>
          <w:tcPr>
            <w:tcW w:w="5000" w:type="dxa"/>
            <w:tcBorders/>
            <w:tcMar>
              <w:top w:w="15" w:type="dxa"/>
              <w:left w:w="15" w:type="dxa"/>
              <w:bottom w:w="15" w:type="dxa"/>
              <w:right w:w="15" w:type="dxa"/>
            </w:tcMar>
            <w:vAlign w:val="top"/>
          </w:tcPr>
          <w:p>
            <w:pPr>
              <w:keepNext w:val="true"/>
              <w:keepLines w:val="true"/>
              <w:spacing w:after="0"/>
              <w:ind w:left="0"/>
              <w:jc w:val="center"/>
            </w:pPr>
            <w:r>
              <w:rPr>
                <w:rFonts w:ascii="Courier New" w:hAnsi="Courier New"/>
                <w:b/>
                <w:i w:val="false"/>
                <w:color w:val="000000"/>
                <w:sz w:val="22"/>
              </w:rPr>
              <w:t>Income bracket</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5%</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$-0- to $50,000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+ 10%</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$50,001 to $150,000</w:t>
            </w:r>
          </w:p>
        </w:tc>
      </w:tr>
      <w:tr>
        <w:trPr>
          <w:cantSplit w:val="true"/>
        </w:trPr>
        <w:tc>
          <w:tcPr>
            <w:tcW w:w="2000" w:type="dxa"/>
            <w:tcBorders/>
            <w:tcMar>
              <w:top w:w="15" w:type="dxa"/>
              <w:left w:w="15" w:type="dxa"/>
              <w:bottom w:w="15" w:type="dxa"/>
              <w:right w:w="525" w:type="dxa"/>
            </w:tcMar>
            <w:vAlign w:val="top"/>
          </w:tcPr>
          <w:p>
            <w:pPr>
              <w:keepNext w:val="true"/>
              <w:keepLines w:val="true"/>
              <w:spacing w:after="0"/>
              <w:ind w:left="0"/>
              <w:jc w:val="right"/>
            </w:pPr>
            <w:r>
              <w:rPr>
                <w:rFonts w:ascii="Courier New" w:hAnsi="Courier New"/>
                <w:b/>
                <w:i w:val="false"/>
                <w:color w:val="000000"/>
                <w:sz w:val="22"/>
              </w:rPr>
              <w:t>+ 20%</w:t>
            </w:r>
          </w:p>
        </w:tc>
        <w:tc>
          <w:tcPr>
            <w:tcW w:w="5000" w:type="dxa"/>
            <w:tcBorders/>
            <w:tcMar>
              <w:top w:w="15" w:type="dxa"/>
              <w:left w:w="15" w:type="dxa"/>
              <w:bottom w:w="15" w:type="dxa"/>
              <w:right w:w="750" w:type="dxa"/>
            </w:tcMar>
            <w:vAlign w:val="top"/>
          </w:tcPr>
          <w:p>
            <w:pPr>
              <w:keepNext w:val="true"/>
              <w:keepLines w:val="true"/>
              <w:spacing w:after="0"/>
              <w:ind w:left="0"/>
              <w:jc w:val="right"/>
            </w:pPr>
            <w:r>
              <w:rPr>
                <w:rFonts w:ascii="Courier New" w:hAnsi="Courier New"/>
                <w:b w:val="false"/>
                <w:i w:val="false"/>
                <w:color w:val="000000"/>
                <w:sz w:val="22"/>
              </w:rPr>
              <w:t>$150,001 and above</w:t>
            </w:r>
          </w:p>
        </w:tc>
      </w:tr>
    </w:tbl>
    <w:p>
      <w:pPr>
        <w:pStyle w:val="ListParagraph"/>
        <w:keepNext w:val="true"/>
        <w:keepLines w:val="true"/>
        <w:numPr>
          <w:ilvl w:val="5"/>
          <w:numId w:val="2"/>
        </w:numPr>
        <w:spacing w:after="0"/>
        <w:jc w:val="left"/>
      </w:pPr>
      <w:r>
        <w:rPr>
          <w:rFonts w:ascii="Times New Roman"/>
          <w:sz w:val="24"/>
        </w:rPr>
        <w:t>Mrs. Greene's annual income is $125,000. Compute the tax on this income, the average tax rate, and the marginal tax rate.</w:t>
      </w:r>
    </w:p>
    <w:p>
      <w:pPr>
        <w:pStyle w:val="ListParagraph"/>
        <w:keepNext w:val="true"/>
        <w:keepLines w:val="true"/>
        <w:numPr>
          <w:ilvl w:val="5"/>
          <w:numId w:val="2"/>
        </w:numPr>
        <w:spacing w:after="0"/>
        <w:jc w:val="left"/>
      </w:pPr>
      <w:r>
        <w:rPr>
          <w:rFonts w:ascii="Times New Roman"/>
          <w:sz w:val="24"/>
        </w:rPr>
        <w:t>Mr. Chen's annual income is $220,000. Compute the tax on this income, the average tax rate, and the marginal tax rate.</w:t>
      </w:r>
    </w:p>
    <w:p>
      <w:pPr>
        <w:pStyle w:val="ListParagraph"/>
        <w:keepNext w:val="true"/>
        <w:keepLines w:val="true"/>
        <w:numPr>
          <w:ilvl w:val="5"/>
          <w:numId w:val="2"/>
        </w:numPr>
        <w:spacing w:after="0"/>
        <w:jc w:val="left"/>
      </w:pPr>
      <w:r>
        <w:rPr>
          <w:rFonts w:ascii="Times New Roman"/>
          <w:sz w:val="24"/>
        </w:rPr>
        <w:t>Does Valhalla have a proportionate, progressive, or regressive tax rate structure?</w:t>
      </w:r>
    </w:p>
    <w:p>
      <w:pPr>
        <w:keepNext w:val="true"/>
        <w:keepLines w:val="true"/>
        <w:spacing w:after="0"/>
        <w:jc w:val="left"/>
      </w:pPr>
      <w:r>
        <w:rPr>
          <w:rFonts w:ascii="Times New Roman"/>
          <w:sz w:val="24"/>
        </w:rPr>
        <w:br/>
        <w:br/>
        <w:br/>
      </w:r>
    </w:p>
    <w:p>
      <w:pPr>
        <w:keepNext w:val="false"/>
        <w:keepLines w:val="true"/>
        <w:spacing w:after="0"/>
        <w:jc w:val="left"/>
      </w:pPr>
    </w:p>
    <w:p>
      <w:pPr>
        <w:keepNext w:val="true"/>
        <w:keepLines w:val="true"/>
        <w:spacing w:after="0"/>
        <w:jc w:val="left"/>
      </w:pPr>
      <w:r>
        <w:rPr>
          <w:rFonts w:ascii="Times New Roman"/>
          <w:b/>
          <w:sz w:val="36"/>
        </w:rPr>
        <w:br w:type="page"/>
        <w:t>Answer Key</w:t>
        <w:br/>
      </w:r>
      <w:r>
        <w:rPr>
          <w:rFonts w:ascii="Times New Roman"/>
          <w:sz w:val="32"/>
        </w:rPr>
        <w:t>Test name: ch2</w:t>
        <w:br/>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FALSE</w:t>
      </w:r>
    </w:p>
    <w:p>
      <w:pPr>
        <w:keepNext w:val="true"/>
        <w:keepLines w:val="true"/>
        <w:spacing w:after="0"/>
        <w:jc w:val="left"/>
      </w:pPr>
      <w:r>
        <w:rPr>
          <w:rFonts w:ascii="Times New Roman"/>
          <w:sz w:val="24"/>
        </w:rPr>
        <w:t>The Social Security tax burden increases annually because the tax base generally increases annually.</w:t>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TRUE</w:t>
      </w:r>
    </w:p>
    <w:p>
      <w:pPr>
        <w:keepNext w:val="true"/>
        <w:keepLines w:val="true"/>
        <w:spacing w:after="0"/>
        <w:jc w:val="left"/>
      </w:pPr>
      <w:r>
        <w:rPr>
          <w:rFonts w:ascii="Times New Roman"/>
          <w:sz w:val="24"/>
        </w:rPr>
        <w:t>Mrs. Lane substituted a nontaxable activity for a taxable activity.</w:t>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FALSE</w:t>
      </w:r>
    </w:p>
    <w:p>
      <w:pPr>
        <w:keepNext w:val="true"/>
        <w:keepLines w:val="true"/>
        <w:spacing w:after="0"/>
        <w:jc w:val="left"/>
      </w:pPr>
      <w:r>
        <w:rPr>
          <w:rFonts w:ascii="Times New Roman"/>
          <w:b w:val="false"/>
          <w:i w:val="false"/>
          <w:color w:val="000000"/>
          <w:sz w:val="24"/>
        </w:rPr>
        <w:t>Supply-side economic theory predicts that people who benefit from a tax rate reduction will invest their tax windfall in new economic ventures.</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FALSE</w:t>
      </w:r>
    </w:p>
    <w:p>
      <w:pPr>
        <w:keepNext w:val="true"/>
        <w:keepLines w:val="true"/>
        <w:spacing w:after="0"/>
        <w:jc w:val="left"/>
      </w:pPr>
      <w:r>
        <w:rPr>
          <w:rFonts w:ascii="Times New Roman"/>
          <w:b w:val="false"/>
          <w:i w:val="false"/>
          <w:color w:val="000000"/>
          <w:sz w:val="24"/>
        </w:rPr>
        <w:t>State sales taxes are more convenient because they are collected by the seller. Consumers must pay use taxes directly.</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FALSE</w:t>
      </w:r>
    </w:p>
    <w:p>
      <w:pPr>
        <w:keepNext w:val="true"/>
        <w:keepLines w:val="true"/>
        <w:spacing w:after="0"/>
        <w:jc w:val="left"/>
      </w:pPr>
      <w:r>
        <w:rPr>
          <w:rFonts w:ascii="Times New Roman"/>
          <w:b w:val="false"/>
          <w:i w:val="false"/>
          <w:color w:val="000000"/>
          <w:sz w:val="24"/>
        </w:rPr>
        <w:t>The IRS's cost of collecting $100 of tax revenue averages less than 30 cents.</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FALSE</w:t>
      </w:r>
    </w:p>
    <w:p>
      <w:pPr>
        <w:keepNext w:val="true"/>
        <w:keepLines w:val="true"/>
        <w:spacing w:after="0"/>
        <w:jc w:val="left"/>
      </w:pPr>
      <w:r>
        <w:rPr>
          <w:rFonts w:ascii="Times New Roman"/>
          <w:b w:val="false"/>
          <w:i w:val="false"/>
          <w:color w:val="000000"/>
          <w:sz w:val="24"/>
        </w:rPr>
        <w:t>A tax should result in both horizontal and vertical equity.</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FALSE</w:t>
      </w:r>
    </w:p>
    <w:p>
      <w:pPr>
        <w:keepNext w:val="true"/>
        <w:keepLines w:val="true"/>
        <w:spacing w:after="0"/>
        <w:jc w:val="left"/>
      </w:pPr>
      <w:r>
        <w:rPr>
          <w:rFonts w:ascii="Times New Roman"/>
          <w:b w:val="false"/>
          <w:i w:val="false"/>
          <w:color w:val="000000"/>
          <w:sz w:val="24"/>
        </w:rPr>
        <w:t>Increased precision in the measurement of taxable income usually increases tax law complexity.</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FALSE</w:t>
      </w:r>
    </w:p>
    <w:p>
      <w:pPr>
        <w:keepNext w:val="true"/>
        <w:keepLines w:val="true"/>
        <w:spacing w:after="0"/>
        <w:jc w:val="left"/>
      </w:pPr>
      <w:r>
        <w:rPr>
          <w:rFonts w:ascii="Times New Roman"/>
          <w:b w:val="false"/>
          <w:i w:val="false"/>
          <w:color w:val="000000"/>
          <w:sz w:val="24"/>
        </w:rPr>
        <w:t>Just the opposite!</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FALSE</w:t>
      </w:r>
    </w:p>
    <w:p>
      <w:pPr>
        <w:keepNext w:val="true"/>
        <w:keepLines w:val="true"/>
        <w:spacing w:after="0"/>
        <w:jc w:val="left"/>
      </w:pPr>
      <w:r>
        <w:rPr>
          <w:rFonts w:ascii="Times New Roman"/>
          <w:b w:val="false"/>
          <w:i w:val="false"/>
          <w:color w:val="000000"/>
          <w:sz w:val="24"/>
        </w:rPr>
        <w:t>With a progressive rate structure, marginal rate is always greater or equal to average rate.</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C</w:t>
      </w:r>
    </w:p>
    <w:p>
      <w:pPr>
        <w:keepNext w:val="true"/>
        <w:keepLines w:val="true"/>
        <w:spacing w:after="0"/>
        <w:jc w:val="left"/>
      </w:pPr>
      <w:r>
        <w:rPr>
          <w:rFonts w:ascii="Times New Roman"/>
          <w:b w:val="false"/>
          <w:i w:val="false"/>
          <w:color w:val="000000"/>
          <w:sz w:val="24"/>
        </w:rPr>
        <w:t>A dynamic forecast would be based on a projected decrease in the average annual golf cart purchases because of the tax increase.</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B</w:t>
      </w:r>
    </w:p>
    <w:p>
      <w:pPr>
        <w:keepNext w:val="true"/>
        <w:keepLines w:val="true"/>
        <w:spacing w:after="0"/>
        <w:jc w:val="left"/>
      </w:pPr>
      <w:r>
        <w:rPr>
          <w:rFonts w:ascii="Times New Roman"/>
          <w:b w:val="false"/>
          <w:i w:val="false"/>
          <w:color w:val="000000"/>
          <w:sz w:val="24"/>
        </w:rPr>
        <w:t>Mr. Slate's behavior in taking a second job illustrates an income effect.</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D</w:t>
      </w:r>
    </w:p>
    <w:p>
      <w:pPr>
        <w:keepNext w:val="true"/>
        <w:keepLines w:val="true"/>
        <w:spacing w:after="0"/>
        <w:jc w:val="left"/>
      </w:pPr>
      <w:r>
        <w:rPr>
          <w:rFonts w:ascii="Times New Roman"/>
          <w:b w:val="false"/>
          <w:i w:val="false"/>
          <w:color w:val="000000"/>
          <w:sz w:val="24"/>
        </w:rPr>
        <w:t>The income effect is theoretically stronger for a family's primary wage earner.</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A</w:t>
      </w:r>
    </w:p>
    <w:p>
      <w:pPr>
        <w:keepNext w:val="true"/>
        <w:keepLines w:val="true"/>
        <w:spacing w:after="0"/>
        <w:jc w:val="left"/>
      </w:pPr>
      <w:r>
        <w:rPr>
          <w:rFonts w:ascii="Times New Roman"/>
          <w:b w:val="false"/>
          <w:i w:val="false"/>
          <w:color w:val="000000"/>
          <w:sz w:val="24"/>
        </w:rPr>
        <w:t>From the government's perspective, the income effect is more desirable because it creates a revenue windfall. Faith in the substitution effect is the foundation for supply-side economic theory. Dynamic revenue forecasts must consider both potential behavioral effects.</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keepNext w:val="true"/>
        <w:keepLines w:val="true"/>
        <w:spacing w:after="0"/>
        <w:jc w:val="left"/>
      </w:pPr>
      <w:r>
        <w:rPr>
          <w:rFonts w:ascii="Times New Roman"/>
          <w:b w:val="false"/>
          <w:i w:val="false"/>
          <w:color w:val="000000"/>
          <w:sz w:val="24"/>
        </w:rPr>
        <w:t>The sales tax is collected by the seller and requires no effort on the part of the purchaser to pay the tax.</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B</w:t>
      </w:r>
    </w:p>
    <w:p>
      <w:pPr>
        <w:keepNext w:val="true"/>
        <w:keepLines w:val="true"/>
        <w:spacing w:after="0"/>
        <w:jc w:val="left"/>
      </w:pPr>
      <w:r>
        <w:rPr>
          <w:rFonts w:ascii="Times New Roman"/>
          <w:b w:val="false"/>
          <w:i w:val="false"/>
          <w:color w:val="000000"/>
          <w:sz w:val="24"/>
        </w:rPr>
        <w:t>The amendment is intended to change taxpayer behavior by rewarding individuals who provide for their own snow removal.</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D</w:t>
      </w:r>
    </w:p>
    <w:p>
      <w:pPr>
        <w:keepNext w:val="true"/>
        <w:keepLines w:val="true"/>
        <w:spacing w:after="0"/>
        <w:jc w:val="left"/>
      </w:pPr>
      <w:r>
        <w:rPr>
          <w:rFonts w:ascii="Times New Roman"/>
          <w:b w:val="false"/>
          <w:i w:val="false"/>
          <w:color w:val="000000"/>
          <w:sz w:val="24"/>
        </w:rPr>
        <w:t>The amendment decreases the neutrality of the tax law.</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B</w:t>
      </w:r>
    </w:p>
    <w:p>
      <w:pPr>
        <w:keepNext w:val="true"/>
        <w:keepLines w:val="true"/>
        <w:spacing w:after="0"/>
        <w:jc w:val="left"/>
      </w:pPr>
      <w:r>
        <w:rPr>
          <w:rFonts w:ascii="Times New Roman"/>
          <w:b w:val="false"/>
          <w:i w:val="false"/>
          <w:color w:val="000000"/>
          <w:sz w:val="24"/>
        </w:rPr>
        <w:t>Tax preferences lose revenue for the government.</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C</w:t>
      </w:r>
    </w:p>
    <w:p>
      <w:pPr>
        <w:keepNext w:val="true"/>
        <w:keepLines w:val="true"/>
        <w:spacing w:after="0"/>
        <w:jc w:val="left"/>
      </w:pPr>
      <w:r>
        <w:rPr>
          <w:rFonts w:ascii="Times New Roman"/>
          <w:b w:val="false"/>
          <w:i w:val="false"/>
          <w:color w:val="000000"/>
          <w:sz w:val="24"/>
        </w:rPr>
        <w:t>Individuals who must replace property destroyed by a disaster arguably have less ability to pay income tax.</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B</w:t>
      </w:r>
    </w:p>
    <w:p>
      <w:pPr>
        <w:keepNext w:val="true"/>
        <w:keepLines w:val="true"/>
        <w:spacing w:after="0"/>
        <w:jc w:val="left"/>
      </w:pPr>
      <w:r>
        <w:rPr>
          <w:rFonts w:ascii="Times New Roman"/>
          <w:b w:val="false"/>
          <w:i w:val="false"/>
          <w:color w:val="000000"/>
          <w:sz w:val="24"/>
        </w:rPr>
        <w:t>Nondiscretionary purchases such as food and medicine reduce the purchaser's ability to pay tax.</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C</w:t>
      </w:r>
    </w:p>
    <w:p>
      <w:pPr>
        <w:keepNext w:val="true"/>
        <w:keepLines w:val="true"/>
        <w:spacing w:after="0"/>
        <w:jc w:val="left"/>
      </w:pPr>
      <w:r>
        <w:rPr>
          <w:rFonts w:ascii="Times New Roman"/>
          <w:b w:val="false"/>
          <w:i w:val="false"/>
          <w:color w:val="000000"/>
          <w:sz w:val="24"/>
        </w:rPr>
        <w:t>Even under a proportionate rate structure, taxpayers with more base pay more tax than taxpayers with less base.</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D</w:t>
      </w:r>
    </w:p>
    <w:p>
      <w:pPr>
        <w:keepNext w:val="true"/>
        <w:keepLines w:val="true"/>
        <w:spacing w:after="0"/>
        <w:jc w:val="left"/>
      </w:pPr>
      <w:r>
        <w:rPr>
          <w:rFonts w:ascii="Times New Roman"/>
          <w:b w:val="false"/>
          <w:i w:val="false"/>
          <w:color w:val="000000"/>
          <w:sz w:val="24"/>
        </w:rPr>
        <w:t>The schedule does not provide information as to whether the definition of taxable income accurately reflects ability to pay. The tax is vertically equitable because taxpayers with more income pay more tax than taxpayers with less income.</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A</w:t>
      </w:r>
    </w:p>
    <w:p>
      <w:pPr>
        <w:keepNext w:val="true"/>
        <w:keepLines w:val="true"/>
        <w:spacing w:after="0"/>
        <w:jc w:val="left"/>
      </w:pPr>
      <w:r>
        <w:rPr>
          <w:rFonts w:ascii="Times New Roman"/>
          <w:b w:val="false"/>
          <w:i w:val="false"/>
          <w:color w:val="000000"/>
          <w:sz w:val="24"/>
        </w:rPr>
        <w:t>Even with a regressive rate structure, persons with a smaller tax base may pay less tax than persons with a greater tax base.</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D</w:t>
      </w:r>
    </w:p>
    <w:p>
      <w:pPr>
        <w:keepNext w:val="true"/>
        <w:keepLines w:val="true"/>
        <w:spacing w:after="0"/>
        <w:jc w:val="left"/>
      </w:pPr>
      <w:r>
        <w:rPr>
          <w:rFonts w:ascii="Times New Roman"/>
          <w:b w:val="false"/>
          <w:i w:val="false"/>
          <w:color w:val="000000"/>
          <w:sz w:val="24"/>
        </w:rPr>
        <w:t>Bilex's tax is $11,298 ([3% × $250,000] + [1% × $379,800]).</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D</w:t>
      </w:r>
    </w:p>
    <w:p>
      <w:pPr>
        <w:keepNext w:val="true"/>
        <w:keepLines w:val="true"/>
        <w:spacing w:after="0"/>
        <w:jc w:val="left"/>
      </w:pPr>
      <w:r>
        <w:rPr>
          <w:rFonts w:ascii="Times New Roman"/>
          <w:b w:val="false"/>
          <w:i w:val="false"/>
          <w:color w:val="000000"/>
          <w:sz w:val="24"/>
        </w:rPr>
        <w:t>Ms. Barker's tax is $9,557 ([3% × $250,000] + [1% × $205,650]), so the average tax rate is 2.1% ($9,557 / $455,650).</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B</w:t>
      </w:r>
    </w:p>
    <w:p>
      <w:pPr>
        <w:keepNext w:val="true"/>
        <w:keepLines w:val="true"/>
        <w:spacing w:after="0"/>
        <w:jc w:val="left"/>
      </w:pPr>
      <w:r>
        <w:rPr>
          <w:rFonts w:ascii="Times New Roman"/>
          <w:b w:val="false"/>
          <w:i w:val="false"/>
          <w:color w:val="000000"/>
          <w:sz w:val="24"/>
        </w:rPr>
        <w:t>A graduated rate structure must include at least two different rates, which either decrease or increase as the tax base increases.</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D</w:t>
      </w:r>
    </w:p>
    <w:p>
      <w:pPr>
        <w:keepNext w:val="true"/>
        <w:keepLines w:val="true"/>
        <w:spacing w:after="0"/>
        <w:jc w:val="left"/>
      </w:pPr>
      <w:r>
        <w:rPr>
          <w:rFonts w:ascii="Times New Roman"/>
          <w:b w:val="false"/>
          <w:i w:val="false"/>
          <w:color w:val="000000"/>
          <w:sz w:val="24"/>
        </w:rPr>
        <w:t>Both progressive rates and a proportionate rate result in vertical equity.</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A</w:t>
      </w:r>
    </w:p>
    <w:p>
      <w:pPr>
        <w:keepNext w:val="true"/>
        <w:keepLines w:val="true"/>
        <w:spacing w:after="0"/>
        <w:jc w:val="left"/>
      </w:pPr>
      <w:r>
        <w:rPr>
          <w:rFonts w:ascii="Times New Roman"/>
          <w:b w:val="false"/>
          <w:i w:val="false"/>
          <w:color w:val="000000"/>
          <w:sz w:val="24"/>
        </w:rPr>
        <w:t>Wealth redistribution is a theoretic justification for a progressive rate structure.</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A</w:t>
      </w:r>
    </w:p>
    <w:p>
      <w:pPr>
        <w:keepNext w:val="true"/>
        <w:keepLines w:val="true"/>
        <w:spacing w:after="0"/>
        <w:jc w:val="left"/>
      </w:pPr>
      <w:r>
        <w:rPr>
          <w:rFonts w:ascii="Times New Roman"/>
          <w:b w:val="false"/>
          <w:i w:val="false"/>
          <w:color w:val="000000"/>
          <w:sz w:val="24"/>
        </w:rPr>
        <w:t>The marginal rate and average rate are equal under a proportionate rate structure.</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keepNext w:val="true"/>
        <w:keepLines w:val="true"/>
        <w:spacing w:after="0"/>
        <w:jc w:val="left"/>
      </w:pPr>
      <w:r>
        <w:rPr>
          <w:rFonts w:ascii="Times New Roman"/>
          <w:b w:val="false"/>
          <w:i w:val="false"/>
          <w:color w:val="000000"/>
          <w:sz w:val="24"/>
        </w:rPr>
        <w:t>(5% × $50,000) + (8% × $28,000) = $4,740.</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B</w:t>
      </w:r>
    </w:p>
    <w:p>
      <w:pPr>
        <w:keepNext w:val="true"/>
        <w:keepLines w:val="true"/>
        <w:spacing w:after="0"/>
        <w:jc w:val="left"/>
      </w:pPr>
      <w:r>
        <w:rPr>
          <w:rFonts w:ascii="Times New Roman"/>
          <w:b w:val="false"/>
          <w:i w:val="false"/>
          <w:color w:val="000000"/>
          <w:sz w:val="24"/>
        </w:rPr>
        <w:t>(5% × $50,000) + (8% × $150,000) + (12% × $114,000) = $28,180.</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D</w:t>
      </w:r>
    </w:p>
    <w:p>
      <w:pPr>
        <w:keepNext w:val="true"/>
        <w:keepLines w:val="true"/>
        <w:spacing w:after="0"/>
        <w:jc w:val="left"/>
      </w:pPr>
      <w:r>
        <w:rPr>
          <w:rFonts w:ascii="Times New Roman"/>
          <w:b w:val="false"/>
          <w:i w:val="false"/>
          <w:color w:val="000000"/>
          <w:sz w:val="24"/>
        </w:rPr>
        <w:t>Ms. Vern's tax is $13,540 ([5% × $50,000] + [8% × $138,000]), so the average tax rate is 7.2% ($13,540 / $188,000).</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B</w:t>
      </w:r>
    </w:p>
    <w:p>
      <w:pPr>
        <w:keepNext w:val="true"/>
        <w:keepLines w:val="true"/>
        <w:spacing w:after="0"/>
        <w:jc w:val="left"/>
      </w:pPr>
      <w:r>
        <w:rPr>
          <w:rFonts w:ascii="Times New Roman"/>
          <w:b w:val="false"/>
          <w:i w:val="false"/>
          <w:color w:val="000000"/>
          <w:sz w:val="24"/>
        </w:rPr>
        <w:t>Replacing the progressive rate structure with a flat rate or replacing the progressive income tax with an arguably regressive sales tax would reduce wealth redistribution.</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C</w:t>
      </w:r>
    </w:p>
    <w:p>
      <w:pPr>
        <w:keepNext w:val="true"/>
        <w:keepLines w:val="true"/>
        <w:spacing w:after="0"/>
        <w:jc w:val="left"/>
      </w:pPr>
      <w:r>
        <w:rPr>
          <w:rFonts w:ascii="Times New Roman"/>
          <w:b w:val="false"/>
          <w:i w:val="false"/>
          <w:color w:val="000000"/>
          <w:sz w:val="24"/>
        </w:rPr>
        <w:t>The public perception of unfairness has increased in recent decades.</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D</w:t>
      </w:r>
    </w:p>
    <w:p>
      <w:pPr>
        <w:keepNext w:val="true"/>
        <w:keepLines w:val="true"/>
        <w:spacing w:after="0"/>
        <w:jc w:val="left"/>
      </w:pPr>
      <w:r>
        <w:rPr>
          <w:rFonts w:ascii="Times New Roman"/>
          <w:b w:val="false"/>
          <w:i w:val="false"/>
          <w:color w:val="000000"/>
          <w:sz w:val="24"/>
        </w:rPr>
        <w:t xml:space="preserve">The amendment reduces complexity because it simplifies measurement of the tax base. It increases neutrality because it eliminates preferences available to only certain taxpayers. However, the amendment makes the measurement of each individual's ability to pay </w:t>
      </w:r>
      <w:r>
        <w:rPr>
          <w:rFonts w:ascii="Times New Roman"/>
          <w:b w:val="false"/>
          <w:i/>
          <w:color w:val="000000"/>
          <w:sz w:val="24"/>
        </w:rPr>
        <w:t>less precise</w:t>
      </w:r>
      <w:r>
        <w:rPr>
          <w:rFonts w:ascii="Times New Roman"/>
          <w:b w:val="false"/>
          <w:i w:val="false"/>
          <w:color w:val="000000"/>
          <w:sz w:val="24"/>
        </w:rPr>
        <w:t xml:space="preserve"> and, therefore, reduces horizontal equity.</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Essay</w:t>
      </w:r>
    </w:p>
    <w:p>
      <w:pPr>
        <w:keepNext w:val="true"/>
        <w:keepLines w:val="true"/>
        <w:spacing w:after="0"/>
        <w:jc w:val="left"/>
      </w:pPr>
      <w:r>
        <w:rPr>
          <w:rFonts w:ascii="Times New Roman"/>
          <w:b w:val="false"/>
          <w:i w:val="false"/>
          <w:color w:val="000000"/>
          <w:sz w:val="24"/>
        </w:rPr>
        <w:t xml:space="preserve">The Bolns' after-tax income </w:t>
      </w:r>
      <w:r>
        <w:rPr>
          <w:rFonts w:ascii="Times New Roman"/>
          <w:b w:val="false"/>
          <w:i/>
          <w:color w:val="000000"/>
          <w:sz w:val="24"/>
        </w:rPr>
        <w:t>before</w:t>
      </w:r>
      <w:r>
        <w:rPr>
          <w:rFonts w:ascii="Times New Roman"/>
          <w:b w:val="false"/>
          <w:i w:val="false"/>
          <w:color w:val="000000"/>
          <w:sz w:val="24"/>
        </w:rPr>
        <w:t xml:space="preserve"> the rate increase is $50,400 ($63,000 − [$63,000 × 20%]). To maintain their after-tax income </w:t>
      </w:r>
      <w:r>
        <w:rPr>
          <w:rFonts w:ascii="Times New Roman"/>
          <w:b w:val="false"/>
          <w:i/>
          <w:color w:val="000000"/>
          <w:sz w:val="24"/>
        </w:rPr>
        <w:t>after</w:t>
      </w:r>
      <w:r>
        <w:rPr>
          <w:rFonts w:ascii="Times New Roman"/>
          <w:b w:val="false"/>
          <w:i w:val="false"/>
          <w:color w:val="000000"/>
          <w:sz w:val="24"/>
        </w:rPr>
        <w:t xml:space="preserve"> the rate increase, the Bolns must earn $4,200 additional income to increase their before-tax income to $67,200 ($50,400 ÷ 75%) on which they will pay $16,800 tax.</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Essay</w:t>
      </w:r>
    </w:p>
    <w:p>
      <w:pPr>
        <w:pStyle w:val="ListParagraph"/>
        <w:keepNext w:val="true"/>
        <w:keepLines w:val="true"/>
        <w:numPr>
          <w:ilvl w:val="5"/>
          <w:numId w:val="2"/>
        </w:numPr>
        <w:spacing w:after="0"/>
        <w:jc w:val="left"/>
      </w:pPr>
      <w:r>
        <w:rPr>
          <w:rFonts w:ascii="Times New Roman"/>
          <w:sz w:val="24"/>
        </w:rPr>
        <w:t>The federal government will collect $6,400 additional revenue ($80,000 × 8% rate increase).</w:t>
      </w:r>
    </w:p>
    <w:p>
      <w:pPr>
        <w:pStyle w:val="ListParagraph"/>
        <w:keepNext w:val="true"/>
        <w:keepLines w:val="true"/>
        <w:numPr>
          <w:ilvl w:val="5"/>
          <w:numId w:val="2"/>
        </w:numPr>
        <w:spacing w:after="0"/>
        <w:jc w:val="left"/>
      </w:pPr>
      <w:r>
        <w:rPr>
          <w:rFonts w:ascii="Times New Roman"/>
          <w:sz w:val="24"/>
        </w:rPr>
        <w:t>$0. The federal government will collect $1,100 less revenue ([$50,000 × 25%] − [$80,000 × 17%]).</w:t>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Essay</w:t>
      </w:r>
    </w:p>
    <w:p>
      <w:pPr>
        <w:pStyle w:val="ListParagraph"/>
        <w:keepNext w:val="true"/>
        <w:keepLines w:val="true"/>
        <w:numPr>
          <w:ilvl w:val="5"/>
          <w:numId w:val="2"/>
        </w:numPr>
        <w:spacing w:after="0"/>
        <w:jc w:val="left"/>
      </w:pPr>
      <w:r>
        <w:rPr>
          <w:rFonts w:ascii="Times New Roman"/>
          <w:sz w:val="24"/>
        </w:rPr>
        <w:t>Ms. Vello's tax is $5,054 ($72,200 × 7%), and average tax rate is 3.97% ($5,054 ÷ $127,200).</w:t>
      </w:r>
    </w:p>
    <w:p>
      <w:pPr>
        <w:pStyle w:val="ListParagraph"/>
        <w:keepNext w:val="true"/>
        <w:keepLines w:val="true"/>
        <w:numPr>
          <w:ilvl w:val="5"/>
          <w:numId w:val="2"/>
        </w:numPr>
        <w:spacing w:after="0"/>
        <w:jc w:val="left"/>
      </w:pPr>
      <w:r>
        <w:rPr>
          <w:rFonts w:ascii="Times New Roman"/>
          <w:sz w:val="24"/>
        </w:rPr>
        <w:t>Mr. Sui's tax is $973 ($13,900 × 7%), and average tax rate is 1.41% ($973 ÷ $68,900).</w:t>
      </w:r>
    </w:p>
    <w:p>
      <w:pPr>
        <w:pStyle w:val="ListParagraph"/>
        <w:keepNext w:val="true"/>
        <w:keepLines w:val="true"/>
        <w:numPr>
          <w:ilvl w:val="5"/>
          <w:numId w:val="2"/>
        </w:numPr>
        <w:spacing w:after="0"/>
        <w:jc w:val="left"/>
      </w:pPr>
      <w:r>
        <w:rPr>
          <w:rFonts w:ascii="Times New Roman"/>
          <w:sz w:val="24"/>
        </w:rPr>
        <w:t>Willford has a progressive tax rate structure because the rate increases as the base increases.</w:t>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Essay</w:t>
      </w:r>
    </w:p>
    <w:p>
      <w:pPr>
        <w:pStyle w:val="ListParagraph"/>
        <w:keepNext w:val="true"/>
        <w:keepLines w:val="true"/>
        <w:numPr>
          <w:ilvl w:val="5"/>
          <w:numId w:val="2"/>
        </w:numPr>
        <w:spacing w:after="0"/>
        <w:jc w:val="left"/>
      </w:pPr>
      <w:r>
        <w:rPr>
          <w:rFonts w:ascii="Times New Roman"/>
          <w:sz w:val="24"/>
        </w:rPr>
        <w:t>Mrs. Greene's tax is $10,000 = (5% × $50,000) + (10% × $75,000). The average tax rate is 8% ($10,000 ÷ $125,000) and the marginal tax rate is 10%.</w:t>
      </w:r>
    </w:p>
    <w:p>
      <w:pPr>
        <w:pStyle w:val="ListParagraph"/>
        <w:keepNext w:val="true"/>
        <w:keepLines w:val="true"/>
        <w:numPr>
          <w:ilvl w:val="5"/>
          <w:numId w:val="2"/>
        </w:numPr>
        <w:spacing w:after="0"/>
        <w:jc w:val="left"/>
      </w:pPr>
      <w:r>
        <w:rPr>
          <w:rFonts w:ascii="Times New Roman"/>
          <w:sz w:val="24"/>
        </w:rPr>
        <w:t>Mr. Chen's tax is $26,500 = (5% × $50,000) + (10% × $100,000) + (20% × $70,000). The average tax rate is 12.05% ($26,500 ÷ $220,000) and the marginal tax rate is 20%.</w:t>
      </w:r>
    </w:p>
    <w:p>
      <w:pPr>
        <w:pStyle w:val="ListParagraph"/>
        <w:keepNext w:val="true"/>
        <w:keepLines w:val="true"/>
        <w:numPr>
          <w:ilvl w:val="5"/>
          <w:numId w:val="2"/>
        </w:numPr>
        <w:spacing w:after="0"/>
        <w:jc w:val="left"/>
      </w:pPr>
      <w:r>
        <w:rPr>
          <w:rFonts w:ascii="Times New Roman"/>
          <w:sz w:val="24"/>
        </w:rPr>
        <w:t>Valhalla has a progressive tax rate structure because the rate increases as the base increases.</w:t>
      </w:r>
    </w:p>
    <w:p>
      <w:pPr>
        <w:keepNext w:val="false"/>
        <w:keepLines w:val="true"/>
        <w:spacing w:after="0"/>
        <w:jc w:val="left"/>
      </w:pPr>
    </w:p>
    <w:sectPr>
      <w:footerReference w:type="default" r:id="rId3"/>
      <w:type w:val="continuous"/>
      <w:pgMar w:top="1440" w:right="1440" w:bottom="1440" w:left="1440"/>
      <w:cols w:space="720"/>
    </w:sectPr>
  </w:body>
</w:document>
</file>

<file path=word/footer.xml><?xml version="1.0" encoding="utf-8"?>
<w:ftr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
    <w:pPr>
      <w:spacing w:before="0" w:after="0"/>
      <w:jc w:val="left"/>
    </w:pPr>
    <w:rPr>
      <w:noProof/>
    </w:rPr>
    <w:r>
      <w:rPr>
        <w:rFonts w:ascii="Calibri"/>
        <w:sz w:val="24"/>
      </w:rPr>
      <w:t>Version 1</w:t>
      <w:tab/>
      <w:tab/>
      <w:tab/>
      <w:tab/>
      <w:tab/>
      <w:tab/>
      <w:tab/>
      <w:tab/>
      <w:tab/>
      <w:tab/>
      <w:tab/>
    </w:r>
    <w:r>
      <w:rPr>
        <w:rFonts w:ascii="Times New Roman"/>
        <w:sz w:val="24"/>
      </w:rPr>
    </w:r>
    <w:fldSimple w:instr=" PAGE \* MERGEFORMAT ">
      <w:r>
        <w:rPr>
          <w:rFonts w:ascii="Times New Roman"/>
          <w:sz w:val="24"/>
        </w:rPr>
      </w:r>
    </w:fldSimple>
  </w:p>
</w:ftr>
</file>

<file path=word/numbering.xml><?xml version="1.0" encoding="utf-8"?>
<w:numbering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2">
    <w:nsid w:val="1ac290bf"/>
    <w:multiLevelType w:val="multilevel"/>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1">
    <w:nsid w:val="8af2fbe"/>
    <w:multiLevelType w:val="hybridMultilevel"/>
    <w:lvl w:ilvl="0">
      <w:start w:val="1"/>
      <w:numFmt w:val="bullet"/>
      <w:lvlText w:val="⊚"/>
      <w:lvlJc w:val="left"/>
      <w:pPr>
        <w:ind w:left="1080" w:hanging="360"/>
      </w:pPr>
    </w:lvl>
    <w:lvl w:ilvl="1">
      <w:start w:val="1"/>
      <w:numFmt w:val="bullet"/>
      <w:lvlText w:val=""/>
      <w:lvlJc w:val="left"/>
      <w:pPr>
        <w:ind w:left="72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decimal"/>
      <w:lvlText w:val="%6)"/>
      <w:lvlJc w:val="left"/>
      <w:pPr>
        <w:ind w:left="360" w:hanging="360"/>
      </w:pPr>
    </w:lvl>
    <w:lvl w:ilvl="6">
      <w:start w:val="1"/>
      <w:numFmt w:val="decimal"/>
      <w:lvlText w:val="%6.%7)"/>
      <w:lvlJc w:val="left"/>
      <w:pPr>
        <w:ind w:left="360" w:hanging="360"/>
      </w:pPr>
    </w:lvl>
    <w:lvl w:ilvl="7">
      <w:start w:val="1"/>
      <w:numFmt w:val="decimal"/>
      <w:lvlText w:val="%8)"/>
      <w:lvlJc w:val="left"/>
      <w:pPr>
        <w:ind w:left="360" w:hanging="360"/>
      </w:pPr>
    </w:lvl>
    <w:lvl w:ilvl="8">
      <w:start w:val="1"/>
      <w:numFmt w:val="decimal"/>
      <w:lvlText w:val="%8.%9)"/>
      <w:lvlJc w:val="left"/>
      <w:pPr>
        <w:ind w:left="360" w:hanging="360"/>
      </w:pPr>
    </w:lvl>
  </w:abstractNum>
  <w:abstractNum w:abstractNumId="3">
    <w:nsid w:val="3eddd45"/>
    <w:multiLevelType w:val="hybridMultilevel"/>
    <w:lvl w:ilvl="1">
      <w:start w:val="1"/>
      <w:numFmt w:val="bullet"/>
      <w:lvlText w:val=""/>
      <w:lvlJc w:val="left"/>
      <w:pPr>
        <w:ind w:left="720" w:hanging="360"/>
      </w:pPr>
      <w:rPr>
        <w:rFonts w:hint="default" w:ascii="Courier New" w:hAnsi="Courier New"/>
      </w:rPr>
    </w:lvl>
  </w:abstractNum>
  <w:num w:numId="2">
    <w:abstractNumId w:val="2"/>
  </w:num>
  <w:num w:numId="3">
    <w:abstractNumId w:val="3"/>
  </w:num>
  <w:num w:numId="1">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footer.xml" Type="http://schemas.openxmlformats.org/officeDocument/2006/relationships/footer" Id="rId3"/>
    <Relationship Target="numbering.xml" Type="http://schemas.openxmlformats.org/officeDocument/2006/relationships/numbering" Id="rId4"/>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

<file path=docProps/custom.xml><?xml version="1.0" encoding="utf-8"?>
<prop:Properties xmlns:vt="http://schemas.openxmlformats.org/officeDocument/2006/docPropsVTypes" xmlns:prop="http://schemas.openxmlformats.org/officeDocument/2006/custom-properties">
  <prop:property fmtid="{D5CDD505-2E9C-101B-9397-08002B2CF9AE}" pid="2" name="Copyright">
    <vt:lpwstr>Some content may be Copyright, McGraw Hill LLC</vt:lpwstr>
  </prop:property>
</prop:Properties>
</file>